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sz w:val="36"/>
          <w:szCs w:val="36"/>
          <w:lang w:eastAsia="zh-CN"/>
        </w:rPr>
      </w:pPr>
      <w:bookmarkStart w:id="0" w:name="_Toc277082535"/>
      <w:bookmarkStart w:id="1" w:name="_Toc5017"/>
      <w:bookmarkStart w:id="2" w:name="_Toc22260"/>
      <w:bookmarkStart w:id="3" w:name="_Toc224103298"/>
      <w:bookmarkStart w:id="4" w:name="_Toc287607727"/>
      <w:bookmarkStart w:id="5" w:name="_Toc22183"/>
      <w:r>
        <w:rPr>
          <w:rFonts w:hint="eastAsia" w:ascii="仿宋_GB2312" w:eastAsia="仿宋_GB2312"/>
          <w:b/>
          <w:sz w:val="36"/>
          <w:szCs w:val="36"/>
        </w:rPr>
        <w:t>工程名称：</w:t>
      </w:r>
      <w:r>
        <w:rPr>
          <w:rFonts w:hint="eastAsia" w:ascii="仿宋_GB2312" w:eastAsia="仿宋_GB2312"/>
          <w:b/>
          <w:sz w:val="36"/>
          <w:szCs w:val="36"/>
          <w:lang w:eastAsia="zh-CN"/>
        </w:rPr>
        <w:t>旅游基础设施提档升级（老游客接待中心入口山墙美化)</w:t>
      </w:r>
    </w:p>
    <w:p>
      <w:pPr>
        <w:spacing w:line="600" w:lineRule="exact"/>
        <w:rPr>
          <w:rFonts w:ascii="宋体" w:hAnsi="宋体" w:eastAsia="仿宋_GB2312"/>
          <w:b/>
          <w:spacing w:val="20"/>
          <w:kern w:val="0"/>
          <w:sz w:val="32"/>
          <w:highlight w:val="yellow"/>
        </w:rPr>
      </w:pPr>
      <w:bookmarkStart w:id="622" w:name="_GoBack"/>
      <w:bookmarkEnd w:id="622"/>
      <w:r>
        <w:rPr>
          <w:rFonts w:hint="eastAsia" w:ascii="仿宋_GB2312" w:eastAsia="仿宋_GB2312"/>
          <w:b/>
          <w:sz w:val="36"/>
          <w:szCs w:val="36"/>
        </w:rPr>
        <w:t xml:space="preserve">   </w:t>
      </w: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Pr>
        <w:autoSpaceDE w:val="0"/>
        <w:autoSpaceDN w:val="0"/>
        <w:adjustRightInd w:val="0"/>
        <w:snapToGrid w:val="0"/>
        <w:spacing w:line="500" w:lineRule="exact"/>
        <w:rPr>
          <w:rFonts w:ascii="宋体" w:hAnsi="宋体"/>
          <w:b/>
          <w:spacing w:val="4"/>
          <w:kern w:val="0"/>
          <w:sz w:val="84"/>
          <w:szCs w:val="84"/>
        </w:rPr>
      </w:pPr>
    </w:p>
    <w:p>
      <w:pPr>
        <w:tabs>
          <w:tab w:val="left" w:pos="3676"/>
        </w:tabs>
        <w:autoSpaceDE w:val="0"/>
        <w:autoSpaceDN w:val="0"/>
        <w:adjustRightInd w:val="0"/>
        <w:snapToGrid w:val="0"/>
        <w:spacing w:line="500" w:lineRule="exact"/>
        <w:rPr>
          <w:rFonts w:ascii="宋体" w:hAnsi="宋体"/>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pStyle w:val="3"/>
      </w:pPr>
    </w:p>
    <w:p>
      <w:pPr>
        <w:autoSpaceDE w:val="0"/>
        <w:autoSpaceDN w:val="0"/>
        <w:adjustRightInd w:val="0"/>
        <w:snapToGrid w:val="0"/>
        <w:spacing w:line="500" w:lineRule="exact"/>
        <w:rPr>
          <w:rFonts w:ascii="宋体" w:hAnsi="宋体"/>
          <w:b/>
          <w:spacing w:val="4"/>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   选   人：</w:t>
      </w:r>
      <w:r>
        <w:rPr>
          <w:rFonts w:hint="eastAsia" w:ascii="宋体" w:hAnsi="宋体"/>
          <w:b/>
          <w:spacing w:val="-8"/>
          <w:kern w:val="0"/>
          <w:sz w:val="32"/>
          <w:lang w:eastAsia="zh-CN"/>
        </w:rPr>
        <w:t>重庆安居古城华夏文化旅游发展有限公司</w:t>
      </w:r>
    </w:p>
    <w:p>
      <w:pPr>
        <w:spacing w:line="480" w:lineRule="exact"/>
        <w:ind w:firstLine="916" w:firstLineChars="300"/>
        <w:rPr>
          <w:rFonts w:ascii="宋体" w:hAnsi="宋体"/>
          <w:b/>
          <w:spacing w:val="-8"/>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比选代理机构：</w:t>
      </w:r>
      <w:r>
        <w:rPr>
          <w:rFonts w:hint="eastAsia" w:ascii="宋体" w:hAnsi="宋体"/>
          <w:b/>
          <w:spacing w:val="-8"/>
          <w:kern w:val="0"/>
          <w:sz w:val="32"/>
          <w:lang w:eastAsia="zh-CN"/>
        </w:rPr>
        <w:t>重庆大正建设工程经济技术有限公司</w:t>
      </w:r>
    </w:p>
    <w:p>
      <w:pPr>
        <w:spacing w:line="480" w:lineRule="exact"/>
        <w:ind w:firstLine="916" w:firstLineChars="300"/>
        <w:rPr>
          <w:rFonts w:ascii="宋体" w:hAnsi="宋体"/>
          <w:b/>
          <w:spacing w:val="-8"/>
          <w:kern w:val="0"/>
          <w:sz w:val="32"/>
        </w:rPr>
      </w:pPr>
    </w:p>
    <w:p>
      <w:pPr>
        <w:autoSpaceDE w:val="0"/>
        <w:autoSpaceDN w:val="0"/>
        <w:adjustRightInd w:val="0"/>
        <w:snapToGrid w:val="0"/>
        <w:spacing w:line="500" w:lineRule="exact"/>
        <w:ind w:firstLine="788" w:firstLineChars="258"/>
        <w:rPr>
          <w:rFonts w:ascii="宋体" w:hAnsi="宋体"/>
          <w:b/>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hint="eastAsia" w:ascii="宋体" w:hAnsi="宋体"/>
          <w:b/>
          <w:sz w:val="30"/>
          <w:szCs w:val="30"/>
        </w:rPr>
        <w:t>二〇二</w:t>
      </w:r>
      <w:r>
        <w:rPr>
          <w:rFonts w:hint="eastAsia" w:ascii="宋体" w:hAnsi="宋体"/>
          <w:b/>
          <w:sz w:val="30"/>
          <w:szCs w:val="30"/>
          <w:lang w:val="en-US" w:eastAsia="zh-CN"/>
        </w:rPr>
        <w:t>三</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p>
      <w:pPr>
        <w:tabs>
          <w:tab w:val="left" w:pos="6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rPr>
        <w:t>目   录</w:t>
      </w:r>
    </w:p>
    <w:p>
      <w:pPr>
        <w:pStyle w:val="37"/>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fldChar w:fldCharType="begin"/>
      </w:r>
      <w:r>
        <w:instrText xml:space="preserve"> HYPERLINK \l "_Toc513492487" </w:instrText>
      </w:r>
      <w: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"_Toc513492488" </w:instrText>
      </w:r>
      <w: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"_Toc513492489" </w:instrText>
      </w:r>
      <w: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"_Toc513492490" </w:instrText>
      </w:r>
      <w: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4"/>
      <w:bookmarkStart w:id="8" w:name="_Hlt514795805"/>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25</w:t>
      </w:r>
      <w:r>
        <w:rPr>
          <w:b w:val="0"/>
          <w:color w:val="auto"/>
          <w:sz w:val="32"/>
          <w:szCs w:val="32"/>
        </w:rPr>
        <w:fldChar w:fldCharType="end"/>
      </w:r>
      <w:bookmarkEnd w:id="7"/>
      <w:bookmarkEnd w:id="8"/>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"_Toc513492491" </w:instrText>
      </w:r>
      <w: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"_Toc513492492" </w:instrText>
      </w:r>
      <w: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"_Toc513492493" </w:instrText>
      </w:r>
      <w: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640" w:firstLineChars="200"/>
        <w:jc w:val="left"/>
        <w:rPr>
          <w:rStyle w:val="59"/>
          <w:rFonts w:hint="eastAsia" w:ascii="Times New Roman" w:hAnsi="Times New Roman"/>
          <w:b w:val="0"/>
          <w:color w:val="auto"/>
          <w:sz w:val="32"/>
          <w:szCs w:val="32"/>
          <w:lang w:val="en-US"/>
        </w:rPr>
      </w:pP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HYPERLINK \l "_Toc513492494"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rPr>
        <w:t>第八章  投标文件格式</w:t>
      </w:r>
      <w:r>
        <w:rPr>
          <w:rStyle w:val="59"/>
          <w:rFonts w:hint="eastAsia" w:ascii="Times New Roman" w:hAnsi="Times New Roman"/>
          <w:b w:val="0"/>
          <w:color w:val="auto"/>
          <w:sz w:val="32"/>
          <w:szCs w:val="32"/>
        </w:rPr>
        <w:tab/>
      </w: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PAGEREF _Toc513492494 \h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lang w:val="en-US" w:eastAsia="zh-CN"/>
        </w:rPr>
        <w:t>56</w:t>
      </w:r>
      <w:r>
        <w:rPr>
          <w:rStyle w:val="59"/>
          <w:rFonts w:hint="eastAsia" w:ascii="Times New Roman" w:hAnsi="Times New Roman"/>
          <w:b w:val="0"/>
          <w:color w:val="auto"/>
          <w:sz w:val="32"/>
          <w:szCs w:val="32"/>
        </w:rPr>
        <w:fldChar w:fldCharType="end"/>
      </w:r>
      <w:r>
        <w:rPr>
          <w:rStyle w:val="59"/>
          <w:rFonts w:hint="eastAsia" w:ascii="Times New Roman" w:hAnsi="Times New Roman"/>
          <w:b w:val="0"/>
          <w:color w:val="auto"/>
          <w:sz w:val="32"/>
          <w:szCs w:val="32"/>
        </w:rPr>
        <w:fldChar w:fldCharType="end"/>
      </w:r>
    </w:p>
    <w:p>
      <w:pPr>
        <w:pStyle w:val="5"/>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p/>
    <w:p/>
    <w:p/>
    <w:p/>
    <w:p/>
    <w:p/>
    <w:p/>
    <w:p/>
    <w:p/>
    <w:p/>
    <w:p/>
    <w:p/>
    <w:p/>
    <w:p/>
    <w:p/>
    <w:p/>
    <w:p/>
    <w:p/>
    <w:p/>
    <w:p/>
    <w:p/>
    <w:p/>
    <w:p/>
    <w:p>
      <w:pPr>
        <w:pStyle w:val="5"/>
        <w:spacing w:before="0" w:after="0" w:line="460" w:lineRule="exact"/>
        <w:jc w:val="center"/>
        <w:rPr>
          <w:rFonts w:ascii="宋体" w:hAnsi="宋体" w:cs="宋体"/>
          <w:kern w:val="0"/>
          <w:sz w:val="36"/>
          <w:szCs w:val="36"/>
        </w:rPr>
      </w:pPr>
      <w:bookmarkStart w:id="9" w:name="_Toc452058672"/>
      <w:bookmarkStart w:id="10" w:name="_Toc513492487"/>
      <w:r>
        <w:rPr>
          <w:rFonts w:hint="eastAsia" w:ascii="宋体" w:hAnsi="宋体" w:cs="宋体"/>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w w:val="99"/>
          <w:kern w:val="0"/>
          <w:sz w:val="32"/>
          <w:szCs w:val="32"/>
        </w:rPr>
      </w:pPr>
      <w:r>
        <w:rPr>
          <w:rFonts w:hint="eastAsia" w:ascii="宋体" w:hAnsi="宋体" w:cs="宋体"/>
          <w:b/>
          <w:bCs/>
          <w:kern w:val="0"/>
          <w:sz w:val="36"/>
          <w:szCs w:val="36"/>
          <w:lang w:eastAsia="zh-CN"/>
        </w:rPr>
        <w:t>旅游基础设施提档升级（老游客接待中心入口山墙美化)</w:t>
      </w:r>
      <w:r>
        <w:rPr>
          <w:rFonts w:hint="eastAsia" w:ascii="宋体" w:hAnsi="宋体" w:cs="宋体"/>
          <w:b/>
          <w:snapToGrid w:val="0"/>
          <w:w w:val="99"/>
          <w:kern w:val="0"/>
          <w:sz w:val="32"/>
          <w:szCs w:val="32"/>
        </w:rPr>
        <w:t xml:space="preserve"> </w:t>
      </w:r>
    </w:p>
    <w:p>
      <w:pPr>
        <w:pStyle w:val="6"/>
        <w:pageBreakBefore w:val="0"/>
        <w:kinsoku/>
        <w:wordWrap/>
        <w:overflowPunct/>
        <w:topLinePunct w:val="0"/>
        <w:bidi w:val="0"/>
        <w:spacing w:before="0" w:after="0" w:line="440" w:lineRule="exact"/>
        <w:textAlignment w:val="auto"/>
        <w:rPr>
          <w:rFonts w:hint="eastAsia" w:ascii="宋体" w:hAnsi="宋体" w:eastAsia="宋体" w:cs="宋体"/>
          <w:bCs w:val="0"/>
          <w:snapToGrid w:val="0"/>
          <w:sz w:val="21"/>
          <w:szCs w:val="21"/>
        </w:rPr>
      </w:pPr>
      <w:bookmarkStart w:id="11" w:name="_Toc428455483"/>
      <w:bookmarkStart w:id="12" w:name="_Toc452058673"/>
      <w:r>
        <w:rPr>
          <w:rFonts w:hint="eastAsia" w:ascii="宋体" w:hAnsi="宋体" w:eastAsia="宋体" w:cs="宋体"/>
          <w:snapToGrid w:val="0"/>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本招标项目</w:t>
      </w:r>
      <w:r>
        <w:rPr>
          <w:rFonts w:hint="eastAsia" w:ascii="宋体" w:hAnsi="宋体" w:cs="宋体"/>
          <w:snapToGrid w:val="0"/>
          <w:kern w:val="0"/>
          <w:szCs w:val="21"/>
          <w:u w:val="single"/>
          <w:lang w:eastAsia="zh-CN"/>
        </w:rPr>
        <w:t>旅游基础设施提档升级（老游客接待中心入口山墙美化)</w:t>
      </w:r>
      <w:r>
        <w:rPr>
          <w:rFonts w:hint="eastAsia" w:ascii="宋体" w:hAnsi="宋体" w:eastAsia="宋体" w:cs="宋体"/>
          <w:snapToGrid w:val="0"/>
          <w:kern w:val="0"/>
          <w:szCs w:val="21"/>
        </w:rPr>
        <w:t>业主为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，资金来源为</w:t>
      </w:r>
      <w:r>
        <w:rPr>
          <w:rFonts w:hint="eastAsia" w:ascii="宋体" w:hAnsi="宋体" w:cs="宋体"/>
          <w:snapToGrid w:val="0"/>
          <w:kern w:val="0"/>
          <w:szCs w:val="21"/>
          <w:highlight w:val="none"/>
          <w:u w:val="single"/>
          <w:lang w:eastAsia="zh-CN"/>
        </w:rPr>
        <w:t>业主自筹</w:t>
      </w:r>
      <w:r>
        <w:rPr>
          <w:rFonts w:hint="eastAsia" w:ascii="宋体" w:hAnsi="宋体" w:eastAsia="宋体" w:cs="宋体"/>
          <w:snapToGrid w:val="0"/>
          <w:kern w:val="0"/>
          <w:szCs w:val="21"/>
        </w:rPr>
        <w:t>，比选人为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。项目已具备招标条件，现对该项目施工进行竞争性比选。</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3" w:name="_Toc452058674"/>
      <w:r>
        <w:rPr>
          <w:rFonts w:hint="eastAsia" w:ascii="宋体" w:hAnsi="宋体" w:eastAsia="宋体" w:cs="宋体"/>
          <w:snapToGrid w:val="0"/>
          <w:sz w:val="21"/>
          <w:szCs w:val="21"/>
        </w:rPr>
        <w:t>2、项目概况与比选范围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bookmarkStart w:id="14" w:name="_Toc452058675"/>
      <w:r>
        <w:rPr>
          <w:rFonts w:hint="eastAsia" w:ascii="宋体" w:hAnsi="宋体" w:eastAsia="宋体" w:cs="宋体"/>
          <w:kern w:val="0"/>
          <w:szCs w:val="21"/>
        </w:rPr>
        <w:t>2.1 项目概况：</w:t>
      </w:r>
      <w:r>
        <w:rPr>
          <w:rFonts w:hint="eastAsia" w:ascii="宋体" w:hAnsi="宋体" w:cs="宋体"/>
          <w:lang w:eastAsia="zh-CN"/>
        </w:rPr>
        <w:t>本项目位于铜梁区安居镇，本次为山墙面美化设计，为新建景观檐廊。总建筑面积361.05m²，总占地面积361.05m²。其中1#檐廊163.05m²，2#檐廊198.00m²。</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2.2 建设地址：</w:t>
      </w:r>
      <w:r>
        <w:rPr>
          <w:rFonts w:hint="eastAsia" w:ascii="宋体" w:hAnsi="宋体" w:cs="宋体"/>
          <w:kern w:val="0"/>
          <w:szCs w:val="21"/>
          <w:lang w:eastAsia="zh-CN"/>
        </w:rPr>
        <w:t>铜梁区安居镇</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2.3 比选范围：</w:t>
      </w:r>
      <w:r>
        <w:rPr>
          <w:rFonts w:hint="eastAsia" w:ascii="宋体" w:hAnsi="宋体" w:eastAsia="宋体" w:cs="宋体"/>
          <w:kern w:val="0"/>
          <w:szCs w:val="21"/>
          <w:lang w:eastAsia="zh-CN"/>
        </w:rPr>
        <w:t>本工程施工图设计范围内的全部内容，具体以比选人发出的工程量清单为准。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2.4 工期：</w:t>
      </w:r>
      <w:r>
        <w:rPr>
          <w:rFonts w:hint="eastAsia" w:ascii="宋体" w:hAnsi="宋体" w:cs="宋体"/>
          <w:kern w:val="0"/>
          <w:szCs w:val="21"/>
          <w:lang w:val="en-US" w:eastAsia="zh-CN"/>
        </w:rPr>
        <w:t>30日历天</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2.5 标段划分：本次招标设1个标段。</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 本次招标要求投标人需具备建设行政主管部门颁发的有效的</w:t>
      </w:r>
      <w:r>
        <w:rPr>
          <w:rFonts w:hint="eastAsia" w:ascii="宋体" w:hAnsi="宋体" w:cs="宋体"/>
          <w:b/>
          <w:bCs/>
          <w:snapToGrid w:val="0"/>
          <w:kern w:val="0"/>
          <w:szCs w:val="21"/>
          <w:u w:val="single"/>
          <w:lang w:val="en-US" w:eastAsia="zh-CN"/>
        </w:rPr>
        <w:t>建筑</w:t>
      </w:r>
      <w:r>
        <w:rPr>
          <w:rFonts w:hint="eastAsia" w:ascii="宋体" w:hAnsi="宋体" w:eastAsia="宋体" w:cs="宋体"/>
          <w:b/>
          <w:bCs/>
          <w:snapToGrid w:val="0"/>
          <w:kern w:val="0"/>
          <w:szCs w:val="21"/>
          <w:u w:val="single"/>
          <w:lang w:eastAsia="zh-CN"/>
        </w:rPr>
        <w:t>工程</w:t>
      </w:r>
      <w:r>
        <w:rPr>
          <w:rFonts w:hint="eastAsia" w:ascii="宋体" w:hAnsi="宋体" w:eastAsia="宋体" w:cs="宋体"/>
          <w:b/>
          <w:bCs/>
          <w:snapToGrid w:val="0"/>
          <w:kern w:val="0"/>
          <w:szCs w:val="21"/>
          <w:u w:val="single"/>
          <w:lang w:val="en-US" w:eastAsia="zh-CN"/>
        </w:rPr>
        <w:t>施工总承包</w:t>
      </w:r>
      <w:r>
        <w:rPr>
          <w:rFonts w:hint="eastAsia" w:ascii="宋体" w:hAnsi="宋体" w:eastAsia="宋体" w:cs="宋体"/>
          <w:b/>
          <w:bCs/>
          <w:snapToGrid w:val="0"/>
          <w:kern w:val="0"/>
          <w:szCs w:val="21"/>
          <w:u w:val="single"/>
        </w:rPr>
        <w:t>三级及以上</w:t>
      </w:r>
      <w:r>
        <w:rPr>
          <w:rFonts w:hint="eastAsia" w:ascii="宋体" w:hAnsi="宋体" w:eastAsia="宋体" w:cs="宋体"/>
          <w:snapToGrid w:val="0"/>
          <w:kern w:val="0"/>
          <w:szCs w:val="21"/>
        </w:rPr>
        <w:t>资质。</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kern w:val="0"/>
          <w:szCs w:val="21"/>
        </w:rPr>
      </w:pPr>
      <w:bookmarkStart w:id="15" w:name="_Toc452058676"/>
      <w:r>
        <w:rPr>
          <w:rFonts w:hint="eastAsia" w:ascii="宋体" w:hAnsi="宋体" w:eastAsia="宋体" w:cs="宋体"/>
          <w:kern w:val="0"/>
          <w:szCs w:val="21"/>
        </w:rPr>
        <w:t>3.3 本次比选不接受联合体投标。</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4、比选文件的获取</w:t>
      </w:r>
      <w:bookmarkEnd w:id="15"/>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bookmarkStart w:id="16" w:name="_Toc452058677"/>
      <w:r>
        <w:rPr>
          <w:rFonts w:hint="eastAsia" w:ascii="宋体" w:hAnsi="宋体" w:eastAsia="宋体" w:cs="宋体"/>
          <w:snapToGrid w:val="0"/>
          <w:kern w:val="0"/>
          <w:szCs w:val="21"/>
          <w:lang w:val="en-US" w:eastAsia="zh-CN"/>
        </w:rPr>
        <w:t>4.1 凡有意参加投标者，请于</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18</w:t>
      </w:r>
      <w:r>
        <w:rPr>
          <w:rFonts w:hint="eastAsia" w:ascii="宋体" w:hAnsi="宋体" w:eastAsia="宋体" w:cs="宋体"/>
          <w:snapToGrid w:val="0"/>
          <w:kern w:val="0"/>
          <w:szCs w:val="21"/>
          <w:lang w:val="en-US" w:eastAsia="zh-CN"/>
        </w:rPr>
        <w:t>日（北京时间，下同）起在重庆安居古城网站（http://www.anjugc.cn/index.htm）下载比选文件、施工图、工程量清单、最高限价、澄清、修改、补充通知等全部内容。</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4.2 投标人可以以匿名传真的形式提出疑问，将问题传真至比选代理机构。提问时间从本公告发布至</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19</w:t>
      </w:r>
      <w:r>
        <w:rPr>
          <w:rFonts w:hint="eastAsia" w:ascii="宋体" w:hAnsi="宋体" w:eastAsia="宋体" w:cs="宋体"/>
          <w:snapToGrid w:val="0"/>
          <w:kern w:val="0"/>
          <w:szCs w:val="21"/>
          <w:lang w:val="en-US" w:eastAsia="zh-CN"/>
        </w:rPr>
        <w:t>日17时00分（北京时间）前。</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4.3 比选人应于</w:t>
      </w:r>
      <w:r>
        <w:rPr>
          <w:rFonts w:hint="eastAsia" w:ascii="宋体" w:hAnsi="宋体" w:cs="宋体"/>
          <w:snapToGrid w:val="0"/>
          <w:kern w:val="0"/>
          <w:szCs w:val="21"/>
          <w:lang w:val="en-US" w:eastAsia="zh-CN"/>
        </w:rPr>
        <w:t>2023年7</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20</w:t>
      </w:r>
      <w:r>
        <w:rPr>
          <w:rFonts w:hint="eastAsia" w:ascii="宋体" w:hAnsi="宋体" w:eastAsia="宋体" w:cs="宋体"/>
          <w:snapToGrid w:val="0"/>
          <w:kern w:val="0"/>
          <w:szCs w:val="21"/>
          <w:lang w:val="en-US" w:eastAsia="zh-CN"/>
        </w:rPr>
        <w:t>日17时00分（北京时间）前在重庆安居古城网站（http://www.anjugc.cn/index.htm）发布澄清。</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bookmarkStart w:id="17" w:name="_Toc452058678"/>
      <w:r>
        <w:rPr>
          <w:rFonts w:hint="eastAsia" w:ascii="宋体" w:hAnsi="宋体" w:eastAsia="宋体" w:cs="宋体"/>
          <w:snapToGrid w:val="0"/>
          <w:kern w:val="0"/>
          <w:szCs w:val="21"/>
        </w:rPr>
        <w:t>5.1 投标文件递交时间为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7月25日</w:t>
      </w:r>
      <w:r>
        <w:rPr>
          <w:rFonts w:hint="eastAsia" w:ascii="宋体" w:hAnsi="宋体" w:cs="宋体"/>
          <w:bCs/>
          <w:snapToGrid w:val="0"/>
          <w:kern w:val="0"/>
          <w:szCs w:val="21"/>
          <w:lang w:val="en-US" w:eastAsia="zh-CN"/>
        </w:rPr>
        <w:t>9</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30</w:t>
      </w:r>
      <w:r>
        <w:rPr>
          <w:rFonts w:hint="eastAsia" w:ascii="宋体" w:hAnsi="宋体" w:eastAsia="宋体" w:cs="宋体"/>
          <w:bCs/>
          <w:snapToGrid w:val="0"/>
          <w:kern w:val="0"/>
          <w:szCs w:val="21"/>
        </w:rPr>
        <w:t>分至</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7月25日</w:t>
      </w:r>
      <w:r>
        <w:rPr>
          <w:rFonts w:hint="eastAsia" w:ascii="宋体" w:hAnsi="宋体" w:cs="宋体"/>
          <w:bCs/>
          <w:snapToGrid w:val="0"/>
          <w:kern w:val="0"/>
          <w:szCs w:val="21"/>
          <w:lang w:val="en-US" w:eastAsia="zh-CN"/>
        </w:rPr>
        <w:t>10</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00</w:t>
      </w:r>
      <w:r>
        <w:rPr>
          <w:rFonts w:hint="eastAsia" w:ascii="宋体" w:hAnsi="宋体" w:eastAsia="宋体" w:cs="宋体"/>
          <w:bCs/>
          <w:snapToGrid w:val="0"/>
          <w:kern w:val="0"/>
          <w:szCs w:val="21"/>
        </w:rPr>
        <w:t>分，投标文件递交的截止时间（投标截止时间，下同）为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7月25日</w:t>
      </w:r>
      <w:r>
        <w:rPr>
          <w:rFonts w:hint="eastAsia" w:ascii="宋体" w:hAnsi="宋体" w:cs="宋体"/>
          <w:bCs/>
          <w:snapToGrid w:val="0"/>
          <w:kern w:val="0"/>
          <w:szCs w:val="21"/>
          <w:lang w:val="en-US" w:eastAsia="zh-CN"/>
        </w:rPr>
        <w:t>10</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00</w:t>
      </w:r>
      <w:r>
        <w:rPr>
          <w:rFonts w:hint="eastAsia" w:ascii="宋体" w:hAnsi="宋体" w:eastAsia="宋体" w:cs="宋体"/>
          <w:bCs/>
          <w:snapToGrid w:val="0"/>
          <w:kern w:val="0"/>
          <w:szCs w:val="21"/>
        </w:rPr>
        <w:t>分，地点：</w:t>
      </w:r>
      <w:r>
        <w:rPr>
          <w:rFonts w:hint="eastAsia" w:ascii="宋体" w:hAnsi="宋体" w:cs="宋体"/>
          <w:bCs/>
          <w:snapToGrid w:val="0"/>
          <w:kern w:val="0"/>
          <w:szCs w:val="21"/>
          <w:lang w:eastAsia="zh-CN"/>
        </w:rPr>
        <w:t>重庆安居古城华夏文化旅游发展有限公司</w:t>
      </w:r>
      <w:r>
        <w:rPr>
          <w:rFonts w:hint="eastAsia" w:ascii="宋体" w:hAnsi="宋体" w:eastAsia="宋体" w:cs="宋体"/>
          <w:bCs/>
          <w:snapToGrid w:val="0"/>
          <w:kern w:val="0"/>
          <w:szCs w:val="21"/>
          <w:lang w:eastAsia="zh-CN"/>
        </w:rPr>
        <w:t>会议室</w:t>
      </w:r>
      <w:r>
        <w:rPr>
          <w:rFonts w:hint="eastAsia" w:ascii="宋体" w:hAnsi="宋体" w:eastAsia="宋体" w:cs="宋体"/>
          <w:snapToGrid w:val="0"/>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 逾期送达的或者未送达指定地点的投标文件，招标人不予受理。</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本次比选公告在</w:t>
      </w:r>
      <w:r>
        <w:rPr>
          <w:rFonts w:hint="eastAsia" w:ascii="宋体" w:hAnsi="宋体" w:cs="宋体"/>
          <w:kern w:val="0"/>
          <w:szCs w:val="21"/>
          <w:lang w:eastAsia="zh-CN"/>
        </w:rPr>
        <w:t>重庆安居古城网站（http://www.anjugc.cn/index.htm）</w:t>
      </w:r>
      <w:r>
        <w:rPr>
          <w:rFonts w:hint="eastAsia" w:ascii="宋体" w:hAnsi="宋体" w:eastAsia="宋体" w:cs="宋体"/>
          <w:kern w:val="0"/>
          <w:szCs w:val="21"/>
        </w:rPr>
        <w:t>上发布。</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8" w:name="_Toc452058679"/>
      <w:r>
        <w:rPr>
          <w:rFonts w:hint="eastAsia" w:ascii="宋体" w:hAnsi="宋体" w:eastAsia="宋体" w:cs="宋体"/>
          <w:snapToGrid w:val="0"/>
          <w:sz w:val="21"/>
          <w:szCs w:val="21"/>
        </w:rPr>
        <w:t>7、联系方式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kern w:val="0"/>
          <w:szCs w:val="21"/>
          <w:highlight w:val="none"/>
          <w:lang w:eastAsia="zh-CN"/>
        </w:rPr>
      </w:pPr>
      <w:bookmarkStart w:id="19" w:name="_Toc24949"/>
      <w:bookmarkStart w:id="20" w:name="_Toc15706"/>
      <w:bookmarkStart w:id="21" w:name="_Toc13425"/>
      <w:bookmarkStart w:id="22" w:name="_Toc224103315"/>
      <w:bookmarkStart w:id="23" w:name="_Toc287607744"/>
      <w:r>
        <w:rPr>
          <w:rFonts w:hint="eastAsia" w:ascii="宋体" w:hAnsi="宋体" w:eastAsia="宋体" w:cs="宋体"/>
          <w:kern w:val="0"/>
          <w:szCs w:val="21"/>
          <w:highlight w:val="none"/>
        </w:rPr>
        <w:t>比选人：</w:t>
      </w:r>
      <w:r>
        <w:rPr>
          <w:rFonts w:hint="eastAsia" w:ascii="宋体" w:hAnsi="宋体" w:cs="宋体"/>
          <w:snapToGrid w:val="0"/>
          <w:kern w:val="0"/>
          <w:szCs w:val="21"/>
          <w:highlight w:val="none"/>
          <w:lang w:eastAsia="zh-CN"/>
        </w:rPr>
        <w:t>重庆安居古城华夏文化旅游发展有限公司</w:t>
      </w:r>
    </w:p>
    <w:p>
      <w:pPr>
        <w:pageBreakBefore w:val="0"/>
        <w:kinsoku/>
        <w:wordWrap/>
        <w:overflowPunct/>
        <w:topLinePunct w:val="0"/>
        <w:bidi w:val="0"/>
        <w:spacing w:line="440" w:lineRule="exact"/>
        <w:ind w:right="67" w:rightChars="32"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地址：</w:t>
      </w:r>
      <w:r>
        <w:rPr>
          <w:rFonts w:hint="eastAsia" w:cs="宋体"/>
          <w:snapToGrid w:val="0"/>
          <w:sz w:val="21"/>
          <w:szCs w:val="21"/>
          <w:highlight w:val="none"/>
          <w:lang w:val="en-US" w:eastAsia="zh-CN"/>
        </w:rPr>
        <w:t>重庆市铜梁区后河街</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联系人：</w:t>
      </w:r>
      <w:r>
        <w:rPr>
          <w:rFonts w:hint="eastAsia" w:ascii="宋体" w:hAnsi="宋体" w:cs="宋体"/>
          <w:snapToGrid w:val="0"/>
          <w:kern w:val="0"/>
          <w:szCs w:val="21"/>
          <w:highlight w:val="none"/>
          <w:lang w:val="en-US" w:eastAsia="zh-CN"/>
        </w:rPr>
        <w:t>祝老师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eastAsia="zh-CN"/>
        </w:rPr>
        <w:t>17783939610</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rPr>
        <w:t xml:space="preserve">                     </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重庆大正建设工程经济技术有限公司</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地  址：</w:t>
      </w:r>
      <w:r>
        <w:rPr>
          <w:rFonts w:hint="eastAsia" w:cs="宋体"/>
          <w:snapToGrid w:val="0"/>
          <w:sz w:val="21"/>
          <w:szCs w:val="21"/>
          <w:highlight w:val="none"/>
          <w:lang w:eastAsia="zh-CN"/>
        </w:rPr>
        <w:t>重庆市渝中区长江一路62号27楼</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陈老师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val="en-US" w:eastAsia="zh-CN"/>
        </w:rPr>
        <w:t>18002315159</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kern w:val="0"/>
          <w:szCs w:val="21"/>
        </w:rPr>
      </w:pPr>
      <w:r>
        <w:rPr>
          <w:rFonts w:hint="eastAsia" w:ascii="宋体" w:hAnsi="宋体" w:eastAsia="宋体" w:cs="宋体"/>
          <w:snapToGrid w:val="0"/>
          <w:kern w:val="0"/>
          <w:szCs w:val="21"/>
        </w:rPr>
        <w:t xml:space="preserve"> </w:t>
      </w:r>
      <w:r>
        <w:rPr>
          <w:rFonts w:hint="eastAsia" w:ascii="宋体" w:hAnsi="宋体" w:eastAsia="宋体" w:cs="宋体"/>
          <w:bCs/>
          <w:kern w:val="0"/>
          <w:szCs w:val="21"/>
        </w:rPr>
        <w:t xml:space="preserve"> 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7月18日</w:t>
      </w: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pStyle w:val="3"/>
        <w:rPr>
          <w:rFonts w:ascii="宋体" w:hAnsi="宋体" w:cs="宋体"/>
          <w:bCs/>
          <w:kern w:val="0"/>
          <w:szCs w:val="21"/>
        </w:rPr>
      </w:pPr>
    </w:p>
    <w:p>
      <w:pPr>
        <w:pStyle w:val="4"/>
        <w:rPr>
          <w:rFonts w:ascii="宋体" w:hAnsi="宋体" w:cs="宋体"/>
          <w:bCs/>
          <w:szCs w:val="21"/>
        </w:rPr>
      </w:pPr>
    </w:p>
    <w:p>
      <w:pPr>
        <w:rPr>
          <w:rFonts w:ascii="宋体" w:hAnsi="宋体" w:cs="宋体"/>
          <w:bCs/>
          <w:kern w:val="0"/>
          <w:szCs w:val="21"/>
        </w:rPr>
      </w:pPr>
    </w:p>
    <w:p>
      <w:pPr>
        <w:pStyle w:val="3"/>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62"/>
        <w:rPr>
          <w:rFonts w:ascii="宋体" w:hAnsi="宋体" w:cs="宋体"/>
          <w:bCs/>
          <w:kern w:val="0"/>
          <w:szCs w:val="21"/>
        </w:rPr>
      </w:pPr>
    </w:p>
    <w:p>
      <w:pPr>
        <w:pStyle w:val="62"/>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5"/>
        <w:spacing w:before="0" w:after="0" w:line="400" w:lineRule="exact"/>
        <w:jc w:val="center"/>
        <w:rPr>
          <w:rFonts w:ascii="宋体" w:hAnsi="宋体" w:cs="宋体"/>
          <w:kern w:val="0"/>
          <w:sz w:val="36"/>
          <w:szCs w:val="36"/>
        </w:rPr>
      </w:pPr>
      <w:bookmarkStart w:id="24" w:name="_Toc513492488"/>
      <w:bookmarkStart w:id="25" w:name="_Toc452058680"/>
      <w:r>
        <w:rPr>
          <w:rFonts w:hint="eastAsia" w:ascii="宋体" w:hAnsi="宋体" w:cs="宋体"/>
          <w:kern w:val="0"/>
          <w:sz w:val="36"/>
          <w:szCs w:val="36"/>
        </w:rPr>
        <w:t>第二章  投标人须知</w:t>
      </w:r>
      <w:bookmarkEnd w:id="19"/>
      <w:bookmarkEnd w:id="20"/>
      <w:bookmarkEnd w:id="21"/>
      <w:bookmarkEnd w:id="22"/>
      <w:bookmarkEnd w:id="23"/>
      <w:bookmarkEnd w:id="24"/>
      <w:bookmarkEnd w:id="25"/>
    </w:p>
    <w:p>
      <w:pPr>
        <w:pStyle w:val="6"/>
        <w:spacing w:before="0" w:after="0" w:line="400" w:lineRule="exact"/>
        <w:rPr>
          <w:rFonts w:ascii="宋体" w:hAnsi="宋体" w:cs="宋体"/>
          <w:sz w:val="28"/>
          <w:szCs w:val="28"/>
        </w:rPr>
      </w:pPr>
      <w:bookmarkStart w:id="26" w:name="_Toc452058681"/>
      <w:bookmarkStart w:id="27" w:name="_Toc287607745"/>
      <w:bookmarkStart w:id="28" w:name="_Toc5936"/>
      <w:bookmarkStart w:id="29" w:name="_Toc18480"/>
      <w:bookmarkStart w:id="30" w:name="_Toc658"/>
      <w:bookmarkStart w:id="31" w:name="_Toc224103316"/>
      <w:bookmarkStart w:id="32" w:name="_Toc386029645"/>
      <w:bookmarkStart w:id="33" w:name="_Toc277082551"/>
      <w:r>
        <w:rPr>
          <w:rFonts w:hint="eastAsia" w:ascii="宋体" w:hAnsi="宋体" w:cs="宋体"/>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 款 号</w:t>
            </w:r>
          </w:p>
        </w:tc>
        <w:tc>
          <w:tcPr>
            <w:tcW w:w="1500"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条款名称</w:t>
            </w:r>
          </w:p>
        </w:tc>
        <w:tc>
          <w:tcPr>
            <w:tcW w:w="7189"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比选人</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比选人：</w:t>
            </w:r>
            <w:r>
              <w:rPr>
                <w:rFonts w:hint="eastAsia" w:cs="宋体"/>
                <w:snapToGrid w:val="0"/>
                <w:sz w:val="21"/>
                <w:szCs w:val="21"/>
                <w:highlight w:val="none"/>
                <w:lang w:eastAsia="zh-CN"/>
              </w:rPr>
              <w:t>重庆安居古城华夏文化旅游发展有限公司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default"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rPr>
              <w:t>地址：</w:t>
            </w:r>
            <w:r>
              <w:rPr>
                <w:rFonts w:hint="eastAsia" w:cs="宋体"/>
                <w:snapToGrid w:val="0"/>
                <w:sz w:val="21"/>
                <w:szCs w:val="21"/>
                <w:highlight w:val="none"/>
                <w:lang w:val="en-US" w:eastAsia="zh-CN"/>
              </w:rPr>
              <w:t>重庆市铜梁区后河街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祝老师</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联系电话：</w:t>
            </w:r>
            <w:r>
              <w:rPr>
                <w:rFonts w:hint="eastAsia" w:cs="宋体"/>
                <w:snapToGrid w:val="0"/>
                <w:sz w:val="21"/>
                <w:szCs w:val="21"/>
                <w:highlight w:val="none"/>
                <w:lang w:eastAsia="zh-CN"/>
              </w:rPr>
              <w:t>17783939610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比选代理机构</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 xml:space="preserve">比选代理机构： </w:t>
            </w:r>
            <w:r>
              <w:rPr>
                <w:rFonts w:hint="eastAsia" w:cs="宋体"/>
                <w:snapToGrid w:val="0"/>
                <w:sz w:val="21"/>
                <w:szCs w:val="21"/>
                <w:lang w:eastAsia="zh-CN"/>
              </w:rPr>
              <w:t>重庆大正建设工程经济技术有限公司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 xml:space="preserve">地  址： </w:t>
            </w:r>
            <w:r>
              <w:rPr>
                <w:rFonts w:hint="eastAsia" w:cs="宋体"/>
                <w:snapToGrid w:val="0"/>
                <w:sz w:val="21"/>
                <w:szCs w:val="21"/>
                <w:lang w:eastAsia="zh-CN"/>
              </w:rPr>
              <w:t>重庆市渝中区长江一路62号27楼</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cs="宋体"/>
                <w:sz w:val="21"/>
                <w:szCs w:val="21"/>
                <w:lang w:eastAsia="zh-CN"/>
              </w:rPr>
              <w:t>陈老师</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联系电话：</w:t>
            </w:r>
            <w:r>
              <w:rPr>
                <w:rFonts w:hint="eastAsia" w:cs="宋体"/>
                <w:sz w:val="21"/>
                <w:szCs w:val="21"/>
                <w:lang w:eastAsia="zh-CN"/>
              </w:rPr>
              <w:t>18002315159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lang w:eastAsia="zh-CN"/>
              </w:rPr>
            </w:pPr>
            <w:r>
              <w:rPr>
                <w:rFonts w:hint="eastAsia" w:ascii="宋体" w:hAnsi="宋体" w:cs="宋体"/>
                <w:snapToGrid w:val="0"/>
                <w:kern w:val="0"/>
                <w:szCs w:val="21"/>
                <w:lang w:eastAsia="zh-CN"/>
              </w:rPr>
              <w:t>旅游基础设施提档升级（老游客接待中心入口山墙美化)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0"/>
                <w:szCs w:val="21"/>
                <w:lang w:eastAsia="zh-CN"/>
              </w:rPr>
            </w:pPr>
            <w:r>
              <w:rPr>
                <w:rFonts w:hint="eastAsia" w:ascii="宋体" w:hAnsi="宋体" w:cs="宋体"/>
                <w:kern w:val="0"/>
                <w:szCs w:val="21"/>
                <w:lang w:eastAsia="zh-CN"/>
              </w:rPr>
              <w:t>铜梁区安居镇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lang w:eastAsia="zh-CN"/>
              </w:rPr>
            </w:pPr>
            <w:r>
              <w:rPr>
                <w:rFonts w:hint="eastAsia" w:ascii="宋体" w:hAnsi="宋体" w:cs="宋体"/>
                <w:kern w:val="0"/>
                <w:szCs w:val="21"/>
                <w:lang w:eastAsia="zh-CN"/>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本工程施工图设计范围内的全部内容，具体以比选人发出的工程量清单为准。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30日历天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24</w:t>
            </w:r>
            <w:r>
              <w:rPr>
                <w:rFonts w:hint="eastAsia" w:ascii="宋体" w:hAnsi="宋体" w:eastAsia="宋体" w:cs="宋体"/>
                <w:snapToGrid w:val="0"/>
                <w:color w:val="auto"/>
                <w:kern w:val="0"/>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bookmarkStart w:id="34" w:name="OLE_LINK1"/>
            <w:r>
              <w:rPr>
                <w:rFonts w:hint="eastAsia" w:ascii="宋体" w:hAnsi="宋体" w:eastAsia="宋体" w:cs="宋体"/>
                <w:szCs w:val="21"/>
              </w:rPr>
              <w:t>本工程施工招标实行资格后审，投标人应</w:t>
            </w:r>
            <w:bookmarkStart w:id="35" w:name="一是"/>
            <w:bookmarkEnd w:id="35"/>
            <w:r>
              <w:rPr>
                <w:rFonts w:hint="eastAsia" w:ascii="宋体" w:hAnsi="宋体" w:eastAsia="宋体" w:cs="宋体"/>
                <w:szCs w:val="21"/>
              </w:rPr>
              <w:t>具备以下资格条件：</w:t>
            </w:r>
          </w:p>
          <w:bookmarkEnd w:id="34"/>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1.资质条件、营业执照及安全生产条件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（1）具备建设行政主管部门颁发的有效的</w:t>
            </w:r>
            <w:r>
              <w:rPr>
                <w:rFonts w:hint="eastAsia" w:ascii="宋体" w:hAnsi="宋体" w:cs="宋体"/>
                <w:spacing w:val="-5"/>
                <w:u w:val="single"/>
                <w:lang w:val="en-US" w:eastAsia="zh-CN"/>
              </w:rPr>
              <w:t>建筑</w:t>
            </w:r>
            <w:r>
              <w:rPr>
                <w:rFonts w:hint="eastAsia" w:ascii="宋体" w:hAnsi="宋体" w:eastAsia="宋体" w:cs="宋体"/>
                <w:spacing w:val="-5"/>
                <w:u w:val="single"/>
                <w:lang w:eastAsia="zh-CN"/>
              </w:rPr>
              <w:t>工程</w:t>
            </w:r>
            <w:r>
              <w:rPr>
                <w:rFonts w:hint="eastAsia" w:ascii="宋体" w:hAnsi="宋体" w:eastAsia="宋体" w:cs="宋体"/>
                <w:spacing w:val="-5"/>
                <w:u w:val="single"/>
                <w:lang w:val="en-US" w:eastAsia="zh-CN"/>
              </w:rPr>
              <w:t>施工总承包</w:t>
            </w:r>
            <w:r>
              <w:rPr>
                <w:rFonts w:hint="eastAsia" w:ascii="宋体" w:hAnsi="宋体" w:eastAsia="宋体" w:cs="宋体"/>
                <w:spacing w:val="-5"/>
                <w:u w:val="single"/>
              </w:rPr>
              <w:t>三级</w:t>
            </w:r>
            <w:r>
              <w:rPr>
                <w:rFonts w:hint="eastAsia" w:ascii="宋体" w:hAnsi="宋体" w:eastAsia="宋体" w:cs="宋体"/>
                <w:u w:val="single"/>
              </w:rPr>
              <w:t>及以上资质</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投标人须在投标文件资格审查部分提供有效的资质证书。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（2）具备有效的营业执照。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注：不得将投标人营业执照记载的经营范围作为评审因素。</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（3）具备建设行政主管部门颁发的有效的安全生产许可证，企业主要负责人、拟担任该项目项目经理具备相应的由建设行政主管部门颁发的有效的安全生产考核合格证书。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投标人须在投标文件资格审查部分提供有效的安全生产许可证及安全生产考核合格证书。</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2.投标截止日投标资格情况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投标人自行承诺（格式见第八章投标文件格式）不得存在下列情形之一：</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（1）被人民法院列入失信被执行人名单且在被执行期内；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（2）被列入《重庆市工程建设领域招标投标信用管理暂行办法》规定的重点关注名单且记分达到12分且在记分有效期内；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（3）被列入《重庆市工程建设领域招标投标信用管理暂行办法》规定的重庆市工程建设领域招标投标失信惩戒对象名单（以下称黑名单）且在记分有效期内；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（5）被重庆市住房和城乡建设主管部门暂停在渝承揽新业务且在暂停期内。</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投标人须在投标文件资格审查部分提供承诺。</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3.项目经理资格要求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.1投标人拟派的项目经理必须已在投标人本单位注册并应具有</w:t>
            </w:r>
            <w:r>
              <w:rPr>
                <w:rFonts w:hint="eastAsia" w:ascii="宋体" w:hAnsi="宋体" w:cs="宋体"/>
                <w:szCs w:val="21"/>
                <w:u w:val="single"/>
                <w:lang w:val="en-US" w:eastAsia="zh-CN"/>
              </w:rPr>
              <w:t>建筑工程</w:t>
            </w:r>
            <w:r>
              <w:rPr>
                <w:rFonts w:hint="eastAsia" w:ascii="宋体" w:hAnsi="宋体" w:eastAsia="宋体" w:cs="宋体"/>
                <w:szCs w:val="21"/>
              </w:rPr>
              <w:t>专业</w:t>
            </w:r>
            <w:r>
              <w:rPr>
                <w:rFonts w:hint="eastAsia" w:ascii="宋体" w:hAnsi="宋体" w:eastAsia="宋体" w:cs="宋体"/>
                <w:szCs w:val="21"/>
                <w:u w:val="single"/>
                <w:lang w:val="en-US" w:eastAsia="zh-CN"/>
              </w:rPr>
              <w:t>二</w:t>
            </w:r>
            <w:r>
              <w:rPr>
                <w:rFonts w:hint="eastAsia" w:ascii="宋体" w:hAnsi="宋体" w:eastAsia="宋体" w:cs="宋体"/>
                <w:szCs w:val="21"/>
                <w:u w:val="single"/>
              </w:rPr>
              <w:t>级及以上</w:t>
            </w:r>
            <w:r>
              <w:rPr>
                <w:rFonts w:hint="eastAsia" w:ascii="宋体" w:hAnsi="宋体" w:eastAsia="宋体" w:cs="宋体"/>
                <w:szCs w:val="21"/>
              </w:rPr>
              <w:t>注册建造师执业资格。</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.2项目经理承诺要求：投标人须承诺拟派项目经理按注册建造师的相关规定到岗履职和未被禁止参与投标。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.2.2未被禁止参与投标承诺要求：承诺拟派项目经理未被重庆市</w:t>
            </w:r>
            <w:r>
              <w:rPr>
                <w:rFonts w:hint="eastAsia" w:ascii="宋体" w:hAnsi="宋体" w:eastAsia="宋体" w:cs="宋体"/>
                <w:color w:val="000000"/>
                <w:lang w:val="en-US" w:eastAsia="zh-CN"/>
              </w:rPr>
              <w:t>市级有关行业</w:t>
            </w:r>
            <w:r>
              <w:rPr>
                <w:rFonts w:hint="eastAsia" w:ascii="宋体" w:hAnsi="宋体" w:eastAsia="宋体" w:cs="宋体"/>
                <w:color w:val="000000"/>
              </w:rPr>
              <w:t>主管部门暂停在渝承揽新业务。若被暂停在渝承揽新业务但仍参加投标，将被否决投标；已取得中标候选人资格或中标资格的，</w:t>
            </w:r>
            <w:r>
              <w:rPr>
                <w:rFonts w:hint="eastAsia" w:ascii="宋体" w:hAnsi="宋体" w:eastAsia="宋体" w:cs="宋体"/>
                <w:color w:val="000000"/>
                <w:lang w:val="en-US" w:eastAsia="zh-CN"/>
              </w:rPr>
              <w:t>比选</w:t>
            </w:r>
            <w:r>
              <w:rPr>
                <w:rFonts w:hint="eastAsia" w:ascii="宋体" w:hAnsi="宋体" w:eastAsia="宋体" w:cs="宋体"/>
                <w:color w:val="000000"/>
              </w:rPr>
              <w:t>人有权取消其中标候选人资格或中标资格；给</w:t>
            </w:r>
            <w:r>
              <w:rPr>
                <w:rFonts w:hint="eastAsia" w:ascii="宋体" w:hAnsi="宋体" w:eastAsia="宋体" w:cs="宋体"/>
                <w:color w:val="000000"/>
                <w:lang w:val="en-US" w:eastAsia="zh-CN"/>
              </w:rPr>
              <w:t>比选</w:t>
            </w:r>
            <w:r>
              <w:rPr>
                <w:rFonts w:hint="eastAsia" w:ascii="宋体" w:hAnsi="宋体" w:eastAsia="宋体" w:cs="宋体"/>
                <w:color w:val="000000"/>
              </w:rPr>
              <w:t>人造成损失的，投标人依法承担违约赔偿责任。</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.2.3项目经理的其它承诺要求：为保证投标人拟派的项目经理到本项目到岗履职，投标人还需承诺：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若投标人拟派本项目的项目经理有在其他项目任职的情形的（或有在其他项目中标或拟中标的情形的），应在收到中标通知书后</w:t>
            </w:r>
            <w:r>
              <w:rPr>
                <w:rFonts w:hint="eastAsia" w:ascii="宋体" w:hAnsi="宋体" w:eastAsia="宋体" w:cs="宋体"/>
                <w:color w:val="000000"/>
                <w:u w:val="single"/>
              </w:rPr>
              <w:t xml:space="preserve"> 14 </w:t>
            </w:r>
            <w:r>
              <w:rPr>
                <w:rFonts w:hint="eastAsia" w:ascii="宋体" w:hAnsi="宋体" w:eastAsia="宋体" w:cs="宋体"/>
                <w:color w:val="000000"/>
              </w:rPr>
              <w:t>日内，办理完成放弃在其他项目任职的手续（或办理完成放弃在其他项目中标或拟中标的手续），</w:t>
            </w:r>
            <w:r>
              <w:rPr>
                <w:rFonts w:hint="eastAsia" w:ascii="宋体" w:hAnsi="宋体" w:eastAsia="宋体" w:cs="宋体"/>
                <w:color w:val="000000"/>
                <w:lang w:val="en-US" w:eastAsia="zh-CN"/>
              </w:rPr>
              <w:t>比选</w:t>
            </w:r>
            <w:r>
              <w:rPr>
                <w:rFonts w:hint="eastAsia" w:ascii="宋体" w:hAnsi="宋体" w:eastAsia="宋体" w:cs="宋体"/>
                <w:color w:val="000000"/>
              </w:rPr>
              <w:t>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w:t>
            </w:r>
            <w:r>
              <w:rPr>
                <w:rFonts w:hint="eastAsia" w:ascii="宋体" w:hAnsi="宋体" w:eastAsia="宋体" w:cs="宋体"/>
                <w:color w:val="000000"/>
                <w:lang w:val="en-US" w:eastAsia="zh-CN"/>
              </w:rPr>
              <w:t>比选</w:t>
            </w:r>
            <w:r>
              <w:rPr>
                <w:rFonts w:hint="eastAsia" w:ascii="宋体" w:hAnsi="宋体" w:eastAsia="宋体" w:cs="宋体"/>
                <w:color w:val="000000"/>
              </w:rPr>
              <w:t>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放弃在其他项目中标或拟中标的需提供：①经中标或拟中标的其他项目建设单位同意的放弃中标函。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.2.4未提供上述承诺或承诺内容不符合要求的，由评标委员会作否决投标处理。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kern w:val="0"/>
                <w:szCs w:val="21"/>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pacing w:val="-24"/>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rPr>
              <w:t>建造师电子注册证书本人手写签名与签名图像笔迹是否一致不作为否决投标的情形。</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4.其他要求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szCs w:val="21"/>
              </w:rPr>
              <w:t>项目技术负责人：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应具有</w:t>
            </w:r>
            <w:r>
              <w:rPr>
                <w:rFonts w:hint="eastAsia" w:ascii="宋体" w:hAnsi="宋体" w:eastAsia="宋体" w:cs="宋体"/>
                <w:b/>
                <w:bCs/>
                <w:szCs w:val="21"/>
                <w:u w:val="single"/>
              </w:rPr>
              <w:t>工程类中级及以上</w:t>
            </w:r>
            <w:r>
              <w:rPr>
                <w:rFonts w:hint="eastAsia" w:ascii="宋体" w:hAnsi="宋体" w:eastAsia="宋体" w:cs="宋体"/>
                <w:szCs w:val="21"/>
              </w:rPr>
              <w:t>职称；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投标人须在投标文件资格审查部分提供拟派技术负责人身份证、职称证及投标人本单位为其缴纳的养老保险证明材料。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主要管理人员：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投标人须在投标文件资格审查部分提供承诺（承诺格式见第八章投标文件格式）。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（3）委托代理人：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委托代理人必须为投标人本单位人员。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投标人须在投标文件资格审查部分提供投标人为该委托代理人缴纳的养老保险证明。否则，将由评标委员会作否决投标处理。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szCs w:val="21"/>
              </w:rPr>
            </w:pPr>
            <w:r>
              <w:rPr>
                <w:rFonts w:hint="eastAsia" w:ascii="宋体" w:hAnsi="宋体" w:eastAsia="宋体" w:cs="宋体"/>
                <w:b/>
                <w:szCs w:val="21"/>
              </w:rPr>
              <w:t>特别说明：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kern w:val="0"/>
                <w:szCs w:val="21"/>
              </w:rPr>
            </w:pPr>
            <w:r>
              <w:rPr>
                <w:rFonts w:hint="eastAsia" w:ascii="宋体" w:hAnsi="宋体" w:eastAsia="宋体" w:cs="宋体"/>
                <w:szCs w:val="21"/>
              </w:rPr>
              <w:t>（1）上述要求须提交的相关证明材料均为扫描件（原件或复印件的扫描件均可），扫描件须清晰可辨，</w:t>
            </w:r>
            <w:r>
              <w:rPr>
                <w:rFonts w:hint="eastAsia" w:ascii="宋体" w:hAnsi="宋体" w:eastAsia="宋体" w:cs="宋体"/>
                <w:kern w:val="0"/>
                <w:szCs w:val="21"/>
              </w:rPr>
              <w:t>有一条不满足，则投标文件由评标委员会</w:t>
            </w:r>
            <w:r>
              <w:rPr>
                <w:rFonts w:hint="eastAsia" w:ascii="宋体" w:hAnsi="宋体" w:eastAsia="宋体" w:cs="宋体"/>
                <w:szCs w:val="21"/>
              </w:rPr>
              <w:t>作否决投标处理</w:t>
            </w:r>
            <w:r>
              <w:rPr>
                <w:rFonts w:hint="eastAsia" w:ascii="宋体" w:hAnsi="宋体" w:eastAsia="宋体" w:cs="宋体"/>
                <w:kern w:val="0"/>
                <w:szCs w:val="21"/>
              </w:rPr>
              <w:t>。</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（3）本招标文件中所要求的人员养老保险证明要求如下：</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①社会单位提供养老保险证明，事业单位提供养老保险证明或行政主管部门在编证明。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shd w:val="clear" w:color="auto" w:fill="FFFFFF"/>
              </w:rPr>
            </w:pPr>
            <w:r>
              <w:rPr>
                <w:rFonts w:hint="eastAsia" w:ascii="宋体" w:hAnsi="宋体" w:eastAsia="宋体" w:cs="宋体"/>
                <w:bCs/>
                <w:kern w:val="0"/>
                <w:szCs w:val="21"/>
              </w:rPr>
              <w:t>②</w:t>
            </w:r>
            <w:r>
              <w:rPr>
                <w:rFonts w:hint="eastAsia" w:ascii="宋体" w:hAnsi="宋体" w:eastAsia="宋体" w:cs="宋体"/>
                <w:bCs/>
                <w:snapToGrid w:val="0"/>
                <w:kern w:val="0"/>
                <w:szCs w:val="21"/>
              </w:rPr>
              <w:t>项目经理、项目技术负责人和委托代理人的连续养老保险证明期限</w:t>
            </w:r>
            <w:r>
              <w:rPr>
                <w:rFonts w:hint="eastAsia" w:ascii="宋体" w:hAnsi="宋体" w:eastAsia="宋体" w:cs="宋体"/>
                <w:bCs/>
                <w:snapToGrid w:val="0"/>
                <w:kern w:val="0"/>
                <w:szCs w:val="21"/>
                <w:lang w:val="en-US" w:eastAsia="zh-CN"/>
              </w:rPr>
              <w:t>须包含</w:t>
            </w:r>
            <w:r>
              <w:rPr>
                <w:rFonts w:hint="eastAsia" w:ascii="宋体" w:hAnsi="宋体" w:cs="宋体"/>
                <w:bCs/>
                <w:snapToGrid w:val="0"/>
                <w:kern w:val="0"/>
                <w:szCs w:val="21"/>
                <w:u w:val="single"/>
                <w:lang w:val="en-US" w:eastAsia="zh-CN"/>
              </w:rPr>
              <w:t>2023年1月至2023年6月</w:t>
            </w:r>
            <w:r>
              <w:rPr>
                <w:rFonts w:hint="eastAsia" w:ascii="宋体" w:hAnsi="宋体" w:eastAsia="宋体" w:cs="宋体"/>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是否接受联合体投标</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1.9.1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踏勘现场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投标预备会</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rPr>
            </w:pP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比选</w:t>
            </w:r>
            <w:r>
              <w:rPr>
                <w:rFonts w:hint="eastAsia" w:ascii="宋体" w:hAnsi="宋体" w:eastAsia="宋体" w:cs="宋体"/>
                <w:szCs w:val="21"/>
              </w:rPr>
              <w:t>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lang w:val="en-US" w:eastAsia="zh-CN"/>
              </w:rPr>
              <w:t>提出</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lang w:val="en-US" w:eastAsia="zh-CN"/>
              </w:rPr>
              <w:t>比选</w:t>
            </w:r>
            <w:r>
              <w:rPr>
                <w:rFonts w:hint="eastAsia" w:ascii="宋体" w:hAnsi="宋体" w:eastAsia="宋体" w:cs="宋体"/>
                <w:szCs w:val="21"/>
              </w:rPr>
              <w:t>人应在</w:t>
            </w:r>
            <w:r>
              <w:rPr>
                <w:rFonts w:hint="eastAsia" w:ascii="宋体" w:hAnsi="宋体" w:eastAsia="宋体" w:cs="宋体"/>
                <w:color w:val="000000"/>
                <w:lang w:val="en-US" w:eastAsia="zh-CN"/>
              </w:rPr>
              <w:t>比选</w:t>
            </w:r>
            <w:r>
              <w:rPr>
                <w:rFonts w:hint="eastAsia" w:ascii="宋体" w:hAnsi="宋体" w:eastAsia="宋体" w:cs="宋体"/>
                <w:szCs w:val="21"/>
              </w:rPr>
              <w:t>公告规定的时间前，</w:t>
            </w:r>
            <w:r>
              <w:rPr>
                <w:rFonts w:hint="eastAsia" w:ascii="宋体" w:hAnsi="宋体" w:eastAsia="宋体" w:cs="宋体"/>
                <w:kern w:val="0"/>
                <w:szCs w:val="21"/>
              </w:rPr>
              <w:t>在</w:t>
            </w:r>
            <w:r>
              <w:rPr>
                <w:rFonts w:hint="eastAsia" w:ascii="宋体" w:hAnsi="宋体" w:cs="宋体"/>
                <w:kern w:val="0"/>
                <w:szCs w:val="21"/>
                <w:u w:val="single"/>
                <w:lang w:eastAsia="zh-CN"/>
              </w:rPr>
              <w:t>重庆安居古城网站（http://www.anjugc.cn/index.htm）</w:t>
            </w:r>
            <w:r>
              <w:rPr>
                <w:rFonts w:hint="eastAsia" w:ascii="宋体" w:hAnsi="宋体" w:eastAsia="宋体" w:cs="宋体"/>
                <w:kern w:val="0"/>
                <w:szCs w:val="21"/>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kern w:val="0"/>
                <w:szCs w:val="21"/>
                <w:u w:val="single"/>
              </w:rPr>
            </w:pPr>
            <w:r>
              <w:rPr>
                <w:rFonts w:hint="eastAsia" w:ascii="宋体" w:hAnsi="宋体" w:eastAsia="宋体" w:cs="宋体"/>
                <w:szCs w:val="21"/>
                <w:highlight w:val="none"/>
              </w:rPr>
              <w:t>详见</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napToGrid w:val="0"/>
                <w:kern w:val="0"/>
                <w:szCs w:val="21"/>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投标人对比选文件和答疑补遗有异议的，应当在投标截止时间3日前，以书面形式通知比选人或招标代理机构。比选人应当自收到异议之日起1日内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cs="宋体"/>
                <w:color w:val="auto"/>
                <w:szCs w:val="21"/>
                <w:lang w:eastAsia="zh-CN"/>
              </w:rPr>
              <w:t>重庆安居古城网站（http://www.anjugc.cn/index.htm）</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投标报价</w:t>
            </w:r>
          </w:p>
        </w:tc>
        <w:tc>
          <w:tcPr>
            <w:tcW w:w="7189" w:type="dxa"/>
            <w:vAlign w:val="center"/>
          </w:tcPr>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1.使用国有资金投资的建设工程发承包，必须采用工程量清单计价。工程量清单应采用综合单价计价。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4.投标函中的总报价必须与已标价工程量清单总报价一致，且工程量清单总报价与依据单价、工程数量、分部分项工程合价计算出的结果应一致，否则由评标委员会作否决投标处理。</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5.（1）在合同实施期间，单价和总价不调整。</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（2）增值税计税方法由招标人依据国家税法规定选择：</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rPr>
            </w:pPr>
            <w:r>
              <w:rPr>
                <w:rFonts w:hint="eastAsia" w:ascii="宋体" w:hAnsi="宋体" w:eastAsia="宋体" w:cs="宋体"/>
              </w:rPr>
              <w:t>一般计税法</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6.如发现工程量清单中的数量与图纸中数量不一致，应于本须知第2.2.1项中规定的时间前书面通知招标人核查，除非招标人以修改的形式予以更正，否则，应以工程量清单中列出的数量为准。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8.本工程招标将设置投标总报价最高限价，投标总报价最高限价</w:t>
            </w:r>
            <w:r>
              <w:rPr>
                <w:rFonts w:hint="eastAsia" w:ascii="宋体" w:hAnsi="宋体" w:cs="宋体"/>
                <w:szCs w:val="21"/>
                <w:highlight w:val="none"/>
                <w:lang w:val="en-US" w:eastAsia="zh-CN"/>
              </w:rPr>
              <w:t>为：</w:t>
            </w:r>
            <w:r>
              <w:rPr>
                <w:rFonts w:hint="eastAsia" w:ascii="宋体" w:hAnsi="宋体" w:cs="宋体"/>
                <w:b/>
                <w:bCs/>
                <w:szCs w:val="21"/>
                <w:highlight w:val="none"/>
                <w:lang w:val="en-US" w:eastAsia="zh-CN"/>
              </w:rPr>
              <w:t>￥215059.42元</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其中安全文明施工费暂定金额为：￥</w:t>
            </w:r>
            <w:r>
              <w:rPr>
                <w:rFonts w:hint="eastAsia" w:ascii="宋体" w:hAnsi="宋体" w:cs="宋体"/>
                <w:b/>
                <w:bCs/>
                <w:szCs w:val="21"/>
                <w:highlight w:val="none"/>
                <w:u w:val="single"/>
                <w:lang w:val="en-US" w:eastAsia="zh-CN"/>
              </w:rPr>
              <w:t>7503.85</w:t>
            </w:r>
            <w:r>
              <w:rPr>
                <w:rFonts w:hint="eastAsia" w:ascii="宋体" w:hAnsi="宋体" w:cs="宋体"/>
                <w:b/>
                <w:bCs/>
                <w:szCs w:val="21"/>
                <w:highlight w:val="none"/>
                <w:lang w:val="en-US" w:eastAsia="zh-CN"/>
              </w:rPr>
              <w:t>元</w:t>
            </w:r>
            <w:r>
              <w:rPr>
                <w:rFonts w:hint="eastAsia" w:ascii="宋体" w:hAnsi="宋体" w:cs="宋体"/>
                <w:szCs w:val="21"/>
                <w:highlight w:val="none"/>
                <w:lang w:val="en-US" w:eastAsia="zh-CN"/>
              </w:rPr>
              <w:t>。</w:t>
            </w:r>
            <w:r>
              <w:rPr>
                <w:rFonts w:hint="eastAsia" w:ascii="宋体" w:hAnsi="宋体" w:eastAsia="宋体" w:cs="宋体"/>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szCs w:val="21"/>
                <w:highlight w:val="none"/>
              </w:rPr>
              <w:t>本工程招标将设置全部清单综合单价最高限价，全部清单综合单价最高限价最迟应于投标截止日3日前发布</w:t>
            </w:r>
            <w:r>
              <w:rPr>
                <w:rFonts w:hint="eastAsia" w:ascii="宋体" w:hAnsi="宋体" w:eastAsia="宋体" w:cs="宋体"/>
                <w:szCs w:val="21"/>
              </w:rPr>
              <w:t xml:space="preserve">，投标人的每项清单综合单价报价不得超过每项清单综合单价最高限价，否则由评标委员会作否决投标处理。  </w:t>
            </w:r>
          </w:p>
          <w:p>
            <w:pPr>
              <w:pStyle w:val="3"/>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9.安全文明施工费：</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9"/>
              <w:keepNext w:val="0"/>
              <w:keepLines w:val="0"/>
              <w:pageBreakBefore w:val="0"/>
              <w:kinsoku/>
              <w:wordWrap/>
              <w:overflowPunct/>
              <w:topLinePunct w:val="0"/>
              <w:autoSpaceDE/>
              <w:autoSpaceDN/>
              <w:bidi w:val="0"/>
              <w:adjustRightInd/>
              <w:spacing w:line="400" w:lineRule="exact"/>
              <w:ind w:firstLineChars="200"/>
              <w:textAlignment w:val="auto"/>
              <w:rPr>
                <w:rFonts w:hint="eastAsia" w:ascii="宋体" w:hAnsi="宋体" w:eastAsia="宋体" w:cs="宋体"/>
                <w:kern w:val="2"/>
                <w:sz w:val="21"/>
                <w:szCs w:val="24"/>
              </w:rPr>
            </w:pPr>
            <w:r>
              <w:rPr>
                <w:rFonts w:hint="eastAsia" w:ascii="宋体" w:hAnsi="宋体" w:eastAsia="宋体" w:cs="宋体"/>
                <w:kern w:val="2"/>
                <w:sz w:val="21"/>
                <w:szCs w:val="24"/>
              </w:rPr>
              <w:t>9.2本工程安全文明施工费由招标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12.本项目所采用技术、工艺和产品等必须执行重庆市住房和城乡建设委员会关于发布重庆市建设领域禁止、限制使用落后技术通告（2019年版）（渝建发〔2019〕25号）的规定。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szCs w:val="21"/>
                <w:u w:val="single"/>
              </w:rPr>
              <w:t>90</w:t>
            </w:r>
            <w:r>
              <w:rPr>
                <w:rFonts w:hint="eastAsia" w:ascii="宋体" w:hAnsi="宋体" w:eastAsia="宋体" w:cs="宋体"/>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投标保证金</w:t>
            </w:r>
          </w:p>
        </w:tc>
        <w:tc>
          <w:tcPr>
            <w:tcW w:w="7189" w:type="dxa"/>
            <w:vAlign w:val="center"/>
          </w:tcPr>
          <w:p>
            <w:pPr>
              <w:pStyle w:val="264"/>
              <w:keepNext w:val="0"/>
              <w:keepLines w:val="0"/>
              <w:pageBreakBefore w:val="0"/>
              <w:numPr>
                <w:ilvl w:val="0"/>
                <w:numId w:val="6"/>
              </w:numPr>
              <w:kinsoku/>
              <w:wordWrap/>
              <w:overflowPunct/>
              <w:topLinePunct w:val="0"/>
              <w:autoSpaceDE/>
              <w:autoSpaceDN/>
              <w:bidi w:val="0"/>
              <w:adjustRightInd/>
              <w:snapToGrid w:val="0"/>
              <w:spacing w:line="400" w:lineRule="exact"/>
              <w:ind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投标保证金的形式：现金。</w:t>
            </w:r>
          </w:p>
          <w:p>
            <w:pPr>
              <w:keepNext w:val="0"/>
              <w:keepLines w:val="0"/>
              <w:pageBreakBefore w:val="0"/>
              <w:kinsoku/>
              <w:wordWrap/>
              <w:overflowPunct/>
              <w:topLinePunct w:val="0"/>
              <w:autoSpaceDE/>
              <w:autoSpaceDN/>
              <w:bidi w:val="0"/>
              <w:adjustRightInd/>
              <w:snapToGrid w:val="0"/>
              <w:spacing w:line="400" w:lineRule="exact"/>
              <w:ind w:firstLine="405"/>
              <w:jc w:val="left"/>
              <w:textAlignment w:val="auto"/>
              <w:rPr>
                <w:rFonts w:hint="eastAsia" w:ascii="宋体" w:hAnsi="宋体" w:eastAsia="宋体" w:cs="宋体"/>
                <w:szCs w:val="21"/>
                <w:highlight w:val="none"/>
              </w:rPr>
            </w:pPr>
            <w:r>
              <w:rPr>
                <w:rFonts w:hint="eastAsia" w:ascii="宋体" w:hAnsi="宋体" w:eastAsia="宋体" w:cs="宋体"/>
                <w:szCs w:val="21"/>
              </w:rPr>
              <w:t>2、投标保证金的</w:t>
            </w:r>
            <w:r>
              <w:rPr>
                <w:rFonts w:hint="eastAsia" w:ascii="宋体" w:hAnsi="宋体" w:eastAsia="宋体" w:cs="宋体"/>
                <w:szCs w:val="21"/>
                <w:highlight w:val="none"/>
              </w:rPr>
              <w:t>金额：</w:t>
            </w:r>
            <w:r>
              <w:rPr>
                <w:rFonts w:hint="eastAsia" w:ascii="宋体" w:hAnsi="宋体" w:cs="宋体"/>
                <w:szCs w:val="21"/>
                <w:highlight w:val="none"/>
                <w:lang w:val="en-US" w:eastAsia="zh-CN"/>
              </w:rPr>
              <w:t>4</w:t>
            </w:r>
            <w:r>
              <w:rPr>
                <w:rFonts w:hint="eastAsia" w:ascii="宋体" w:hAnsi="宋体" w:eastAsia="宋体" w:cs="宋体"/>
                <w:szCs w:val="21"/>
                <w:highlight w:val="none"/>
              </w:rPr>
              <w:t>000元（大写：</w:t>
            </w:r>
            <w:r>
              <w:rPr>
                <w:rFonts w:hint="eastAsia" w:ascii="宋体" w:hAnsi="宋体" w:cs="宋体"/>
                <w:szCs w:val="21"/>
                <w:highlight w:val="none"/>
                <w:lang w:val="en-US" w:eastAsia="zh-CN"/>
              </w:rPr>
              <w:t>肆仟</w:t>
            </w:r>
            <w:r>
              <w:rPr>
                <w:rFonts w:hint="eastAsia" w:ascii="宋体" w:hAnsi="宋体" w:eastAsia="宋体" w:cs="宋体"/>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42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3、递交方式：信封递交、信封上写明单位名称并盖单位公章。</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4、递交时间：递交投标文件时，同时递交。</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rPr>
            </w:pPr>
            <w:r>
              <w:rPr>
                <w:rFonts w:hint="eastAsia" w:ascii="宋体" w:hAnsi="宋体" w:eastAsia="宋体" w:cs="宋体"/>
                <w:szCs w:val="21"/>
              </w:rPr>
              <w:t>5、投标保证金退还：开标结束后当场退还除中标候选人外其他投标人的投标保证金。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3.6</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kern w:val="0"/>
                <w:szCs w:val="21"/>
              </w:rPr>
            </w:pPr>
            <w:r>
              <w:rPr>
                <w:rFonts w:hint="eastAsia" w:ascii="宋体" w:hAnsi="宋体" w:eastAsia="宋体" w:cs="宋体"/>
                <w:kern w:val="0"/>
                <w:szCs w:val="21"/>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szCs w:val="21"/>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0"/>
                <w:szCs w:val="21"/>
              </w:rPr>
              <w:t>比选人名称：</w:t>
            </w:r>
            <w:r>
              <w:rPr>
                <w:rFonts w:hint="eastAsia" w:ascii="宋体" w:hAnsi="宋体" w:eastAsia="宋体" w:cs="宋体"/>
                <w:snapToGrid w:val="0"/>
                <w:color w:val="auto"/>
                <w:kern w:val="0"/>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cs="宋体"/>
                <w:kern w:val="0"/>
                <w:szCs w:val="21"/>
                <w:lang w:eastAsia="zh-CN"/>
              </w:rPr>
              <w:t>重庆安居古城华夏文化旅游发展有限公司</w:t>
            </w:r>
            <w:r>
              <w:rPr>
                <w:rFonts w:hint="eastAsia" w:ascii="宋体" w:hAnsi="宋体" w:eastAsia="宋体" w:cs="宋体"/>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5.1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u w:val="single"/>
              </w:rPr>
            </w:pPr>
            <w:r>
              <w:rPr>
                <w:rFonts w:hint="eastAsia" w:ascii="宋体" w:hAnsi="宋体" w:eastAsia="宋体" w:cs="宋体"/>
                <w:kern w:val="0"/>
                <w:szCs w:val="21"/>
              </w:rPr>
              <w:t>开标地点：</w:t>
            </w:r>
            <w:r>
              <w:rPr>
                <w:rFonts w:hint="eastAsia" w:ascii="宋体" w:hAnsi="宋体" w:cs="宋体"/>
                <w:snapToGrid w:val="0"/>
                <w:kern w:val="0"/>
                <w:szCs w:val="21"/>
                <w:lang w:eastAsia="zh-CN"/>
              </w:rPr>
              <w:t>重庆安居古城华夏文化旅游发展有限公司</w:t>
            </w:r>
            <w:r>
              <w:rPr>
                <w:rFonts w:hint="eastAsia" w:ascii="宋体" w:hAnsi="宋体" w:eastAsia="宋体" w:cs="宋体"/>
                <w:snapToGrid w:val="0"/>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 投标人对开标有异议的，应当场提出，由招标人或代理机构当场答复，并记录到开标记录表中。异议处理完毕后，汇总开标情况，打印开标记录表。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10</w:t>
            </w:r>
            <w:r>
              <w:rPr>
                <w:rFonts w:hint="eastAsia" w:ascii="宋体" w:hAnsi="宋体" w:eastAsia="宋体" w:cs="宋体"/>
                <w:szCs w:val="21"/>
              </w:rPr>
              <w:t>. 投标人代表、</w:t>
            </w:r>
            <w:r>
              <w:rPr>
                <w:rFonts w:hint="eastAsia" w:ascii="宋体" w:hAnsi="宋体" w:eastAsia="宋体" w:cs="宋体"/>
                <w:szCs w:val="21"/>
                <w:lang w:val="en-US" w:eastAsia="zh-CN"/>
              </w:rPr>
              <w:t>比选</w:t>
            </w:r>
            <w:r>
              <w:rPr>
                <w:rFonts w:hint="eastAsia" w:ascii="宋体" w:hAnsi="宋体" w:eastAsia="宋体" w:cs="宋体"/>
                <w:szCs w:val="21"/>
              </w:rPr>
              <w:t>人代表、监标人、主持人、记录人等有关人员在开标记录上签名确认。因其他原因未能签名的，视为默认开标结果。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开标记录表、投标人信用情况汇总表一并交由评标委员会评审。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11</w:t>
            </w:r>
            <w:r>
              <w:rPr>
                <w:rFonts w:hint="eastAsia" w:ascii="宋体" w:hAnsi="宋体" w:eastAsia="宋体" w:cs="宋体"/>
                <w:szCs w:val="21"/>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6.1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1．评标委员会构成：</w:t>
            </w:r>
            <w:r>
              <w:rPr>
                <w:rFonts w:hint="eastAsia" w:ascii="宋体" w:hAnsi="宋体" w:eastAsia="宋体" w:cs="宋体"/>
                <w:kern w:val="0"/>
                <w:szCs w:val="21"/>
                <w:u w:val="single"/>
              </w:rPr>
              <w:t xml:space="preserve"> 3 </w:t>
            </w:r>
            <w:r>
              <w:rPr>
                <w:rFonts w:hint="eastAsia" w:ascii="宋体" w:hAnsi="宋体" w:eastAsia="宋体" w:cs="宋体"/>
                <w:kern w:val="0"/>
                <w:szCs w:val="21"/>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2．评标专家确定方式：</w:t>
            </w:r>
            <w:r>
              <w:rPr>
                <w:rFonts w:hint="eastAsia" w:ascii="宋体" w:hAnsi="宋体" w:eastAsia="宋体" w:cs="宋体"/>
                <w:snapToGrid w:val="0"/>
                <w:kern w:val="0"/>
                <w:szCs w:val="21"/>
              </w:rPr>
              <w:t>由比选人依法组建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w:t>
            </w:r>
            <w:r>
              <w:rPr>
                <w:rFonts w:hint="eastAsia" w:ascii="宋体" w:hAnsi="宋体"/>
                <w:kern w:val="0"/>
                <w:szCs w:val="21"/>
              </w:rPr>
              <w:t>1~3</w:t>
            </w:r>
            <w:r>
              <w:rPr>
                <w:rFonts w:ascii="宋体" w:hAnsi="宋体"/>
                <w:kern w:val="0"/>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7.2</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比选人在收到评标报告后3日内将评标结果在</w:t>
            </w:r>
            <w:r>
              <w:rPr>
                <w:rFonts w:hint="eastAsia" w:ascii="宋体" w:hAnsi="宋体" w:cs="宋体"/>
                <w:color w:val="auto"/>
                <w:szCs w:val="21"/>
                <w:lang w:eastAsia="zh-CN"/>
              </w:rPr>
              <w:t>重庆安居古城网站（http://www.anjugc.cn/index.htm）</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履约担保</w:t>
            </w:r>
          </w:p>
        </w:tc>
        <w:tc>
          <w:tcPr>
            <w:tcW w:w="7189" w:type="dxa"/>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1.担保形式：</w:t>
            </w:r>
            <w:r>
              <w:rPr>
                <w:rFonts w:hint="default" w:ascii="宋体" w:hAnsi="宋体" w:eastAsia="宋体" w:cs="宋体"/>
                <w:color w:val="auto"/>
                <w:sz w:val="21"/>
                <w:szCs w:val="21"/>
                <w:lang w:val="en-US" w:eastAsia="zh-CN"/>
              </w:rPr>
              <w:t>现金或</w:t>
            </w:r>
            <w:r>
              <w:rPr>
                <w:rFonts w:hint="eastAsia" w:ascii="宋体" w:hAnsi="宋体" w:cs="宋体"/>
                <w:color w:val="auto"/>
                <w:sz w:val="21"/>
                <w:szCs w:val="21"/>
                <w:lang w:val="en-US" w:eastAsia="zh-CN"/>
              </w:rPr>
              <w:t>转账</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2.金额：履约保证金金额为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%，农民工工资保证金金额为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的2%。</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3.递交时间：中标人应在收到中标通知书后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4.履约保证金返还：</w:t>
            </w:r>
            <w:r>
              <w:rPr>
                <w:rFonts w:hint="eastAsia" w:ascii="宋体" w:hAnsi="宋体" w:cs="宋体"/>
                <w:color w:val="auto"/>
                <w:sz w:val="21"/>
                <w:szCs w:val="21"/>
                <w:lang w:val="en-US" w:eastAsia="zh-CN"/>
              </w:rPr>
              <w:t>竣工</w:t>
            </w:r>
            <w:r>
              <w:rPr>
                <w:rFonts w:hint="default" w:ascii="宋体" w:hAnsi="宋体" w:eastAsia="宋体" w:cs="宋体"/>
                <w:color w:val="auto"/>
                <w:sz w:val="21"/>
                <w:szCs w:val="21"/>
                <w:lang w:val="en-US" w:eastAsia="zh-CN"/>
              </w:rPr>
              <w:t>验收合格后一个月内一次性退还。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yellow"/>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农民工工资保证金返还</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竣工验收合格且支付完农民工工资后</w:t>
            </w:r>
            <w:r>
              <w:rPr>
                <w:rFonts w:hint="eastAsia" w:ascii="宋体" w:hAnsi="宋体" w:eastAsia="宋体" w:cs="宋体"/>
                <w:color w:val="auto"/>
                <w:sz w:val="21"/>
                <w:szCs w:val="21"/>
                <w:lang w:val="en-US" w:eastAsia="zh-CN"/>
              </w:rPr>
              <w:t>90日历天</w:t>
            </w:r>
            <w:r>
              <w:rPr>
                <w:rFonts w:hint="default" w:ascii="宋体" w:hAnsi="宋体" w:eastAsia="宋体" w:cs="宋体"/>
                <w:color w:val="auto"/>
                <w:sz w:val="21"/>
                <w:szCs w:val="21"/>
                <w:lang w:val="en-US" w:eastAsia="zh-CN"/>
              </w:rPr>
              <w:t>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重新比选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1.按投标人须知第8.1（1）执行；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2.按投标人须知第8.1（2）执行；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3.按投标人须知第8.1（3）执行；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snapToGrid w:val="0"/>
                <w:szCs w:val="21"/>
              </w:rPr>
              <w:t>二次比选和不再比选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10</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结算原则</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0"/>
                <w:szCs w:val="21"/>
              </w:rPr>
              <w:t>结算价=中标单价*实际完成工程量±经发包人确认的应计增减（变更）工程造价±合同约定的其它费用</w:t>
            </w:r>
            <w:r>
              <w:rPr>
                <w:rFonts w:hint="eastAsia" w:ascii="宋体" w:hAnsi="宋体" w:eastAsia="宋体" w:cs="宋体"/>
                <w:color w:val="auto"/>
                <w:szCs w:val="21"/>
              </w:rPr>
              <w:t>，</w:t>
            </w:r>
            <w:r>
              <w:rPr>
                <w:rFonts w:hint="eastAsia" w:ascii="宋体" w:hAnsi="宋体" w:eastAsia="宋体" w:cs="宋体"/>
                <w:color w:val="auto"/>
                <w:kern w:val="0"/>
                <w:szCs w:val="21"/>
              </w:rPr>
              <w:t>最终结算金额以建设单位委托的审计机构审定金额为准。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2.增减（变更）工程结算：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工程内容与已标价工程量清单中有相同的子项或类似子项，则按投标时的相同子项或类似子项的综合单价执行（类似子项的综合单价由</w:t>
            </w:r>
            <w:r>
              <w:rPr>
                <w:rFonts w:hint="eastAsia" w:ascii="宋体" w:hAnsi="宋体" w:eastAsia="宋体" w:cs="宋体"/>
                <w:color w:val="auto"/>
                <w:szCs w:val="21"/>
                <w:lang w:val="en-US" w:eastAsia="zh-CN"/>
              </w:rPr>
              <w:t>比选</w:t>
            </w:r>
            <w:r>
              <w:rPr>
                <w:rFonts w:hint="eastAsia" w:ascii="宋体" w:hAnsi="宋体" w:eastAsia="宋体" w:cs="宋体"/>
                <w:szCs w:val="21"/>
                <w:lang w:eastAsia="zh-CN"/>
              </w:rPr>
              <w:t>人审定）</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eastAsia="zh-CN"/>
              </w:rPr>
              <w:t>工程内容如有与已标价工程量清单不同的子项（既无相同子项，又无类似子项），按</w:t>
            </w:r>
            <w:r>
              <w:rPr>
                <w:rFonts w:hint="eastAsia" w:ascii="宋体" w:hAnsi="宋体" w:cs="宋体"/>
                <w:szCs w:val="21"/>
                <w:lang w:eastAsia="zh-CN"/>
              </w:rPr>
              <w:t>《建设工程工程量清单计价规范》（GB 50500-2013）、《重庆市建设工程工程量清单计价规则》（CQJJGZ-2013）、《重庆市建设工程工程量计算规则》（CQJLGZ-2013）</w:t>
            </w:r>
            <w:r>
              <w:rPr>
                <w:rFonts w:hint="eastAsia" w:ascii="宋体" w:hAnsi="宋体" w:eastAsia="宋体" w:cs="宋体"/>
                <w:szCs w:val="21"/>
                <w:lang w:eastAsia="zh-CN"/>
              </w:rPr>
              <w:t>、</w:t>
            </w:r>
            <w:r>
              <w:rPr>
                <w:rFonts w:hint="eastAsia" w:ascii="宋体" w:hAnsi="宋体" w:cs="宋体"/>
                <w:szCs w:val="21"/>
                <w:lang w:eastAsia="zh-CN"/>
              </w:rPr>
              <w:t>2018年《重庆市市政工程计价定额》、《重庆市通用安装工程计价定额》、《重庆市建设工程费用定额》及其配套文件计算后</w:t>
            </w:r>
            <w:r>
              <w:rPr>
                <w:rFonts w:hint="eastAsia" w:ascii="宋体" w:hAnsi="宋体" w:eastAsia="宋体" w:cs="宋体"/>
                <w:szCs w:val="21"/>
                <w:lang w:eastAsia="zh-CN"/>
              </w:rPr>
              <w:t>，再按承包人报价浮动率[承包人报价浮动率=（1-中标价/投标总报价最高限价）×100%]进行下浮后结算[其中：</w:t>
            </w:r>
            <w:r>
              <w:rPr>
                <w:rFonts w:hint="eastAsia" w:ascii="宋体" w:hAnsi="宋体" w:cs="宋体"/>
                <w:szCs w:val="21"/>
                <w:lang w:eastAsia="zh-CN"/>
              </w:rPr>
              <w:t>人工工日单价按照2023年第一季度渝西片区人工信息价计算；材料价格参照2023年第5期《重庆工程造价信息》公布的铜梁地区材料价格并结合当地近期市场价格进行调整，材料价格为不含税价格；下浮基数不含安全文明施工费、认质核价的材料费、规费、税金</w:t>
            </w:r>
            <w:r>
              <w:rPr>
                <w:rFonts w:hint="eastAsia" w:ascii="宋体" w:hAnsi="宋体" w:eastAsia="宋体" w:cs="宋体"/>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szCs w:val="21"/>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eastAsia="zh-CN"/>
              </w:rPr>
            </w:pPr>
            <w:r>
              <w:rPr>
                <w:rFonts w:hint="eastAsia" w:ascii="宋体" w:hAnsi="宋体" w:cs="宋体"/>
                <w:lang w:eastAsia="zh-CN"/>
              </w:rPr>
              <w:t>竣工验收合格（并完成送审）后支付至合同价款的70%,结算审核完成后支付至审定金额的97%,（其中结算审核总价款的3%留作质保金）。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kern w:val="0"/>
                <w:szCs w:val="21"/>
              </w:rPr>
            </w:pPr>
            <w:r>
              <w:rPr>
                <w:rFonts w:hint="eastAsia" w:ascii="宋体" w:hAnsi="宋体"/>
                <w:color w:val="auto"/>
                <w:kern w:val="0"/>
                <w:szCs w:val="21"/>
                <w:lang w:val="en-US" w:eastAsia="zh-CN"/>
              </w:rPr>
              <w:t>10.4</w:t>
            </w:r>
          </w:p>
        </w:tc>
        <w:tc>
          <w:tcPr>
            <w:tcW w:w="1500" w:type="dxa"/>
            <w:vAlign w:val="center"/>
          </w:tcPr>
          <w:p>
            <w:pPr>
              <w:snapToGrid w:val="0"/>
              <w:spacing w:line="400" w:lineRule="exact"/>
              <w:jc w:val="center"/>
              <w:rPr>
                <w:rFonts w:hint="eastAsia" w:ascii="宋体" w:hAnsi="宋体" w:eastAsia="宋体" w:cs="宋体"/>
                <w:kern w:val="0"/>
                <w:szCs w:val="21"/>
              </w:rPr>
            </w:pPr>
            <w:r>
              <w:rPr>
                <w:rFonts w:hint="eastAsia" w:ascii="宋体" w:hAnsi="宋体"/>
                <w:color w:val="auto"/>
                <w:kern w:val="0"/>
                <w:szCs w:val="21"/>
              </w:rPr>
              <w:t>低价风险担保</w:t>
            </w:r>
          </w:p>
        </w:tc>
        <w:tc>
          <w:tcPr>
            <w:tcW w:w="718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rPr>
            </w:pPr>
            <w:r>
              <w:rPr>
                <w:rFonts w:hint="eastAsia" w:ascii="宋体" w:hAnsi="宋体" w:cs="宋体"/>
                <w:color w:val="auto"/>
                <w:kern w:val="0"/>
                <w:szCs w:val="21"/>
              </w:rPr>
              <w:t>1、低价风险担保：中标价低于最高限价的85%时提供，如不按时足额提供，视为中标人放弃中标，比选人有权不退还其投标保证金，</w:t>
            </w:r>
            <w:r>
              <w:rPr>
                <w:rFonts w:hint="eastAsia" w:ascii="宋体" w:hAnsi="宋体" w:cs="宋体"/>
                <w:color w:val="auto"/>
              </w:rPr>
              <w:t>并报招标投标行政监督部门按照信用管理办法的规定处理，对中标人的不良行为直接记12分，纳入重点关注名单。</w:t>
            </w:r>
          </w:p>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kern w:val="0"/>
                <w:szCs w:val="21"/>
              </w:rPr>
            </w:pPr>
            <w:r>
              <w:rPr>
                <w:rFonts w:hint="eastAsia" w:ascii="宋体" w:hAnsi="宋体" w:cs="宋体"/>
                <w:color w:val="auto"/>
                <w:kern w:val="0"/>
                <w:szCs w:val="21"/>
              </w:rPr>
              <w:t>2、中标人提供低价风险担保的形式、金额及期限：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（2）低价风险担保的金额：（最高限价×85%</w:t>
            </w:r>
            <w:r>
              <w:rPr>
                <w:rFonts w:hint="eastAsia" w:ascii="宋体" w:hAnsi="宋体" w:cs="宋体"/>
                <w:color w:val="auto"/>
                <w:kern w:val="0"/>
                <w:szCs w:val="21"/>
                <w:lang w:eastAsia="zh-CN"/>
              </w:rPr>
              <w:t>－</w:t>
            </w:r>
            <w:r>
              <w:rPr>
                <w:rFonts w:hint="eastAsia" w:ascii="宋体" w:hAnsi="宋体" w:cs="宋体"/>
                <w:color w:val="auto"/>
                <w:kern w:val="0"/>
                <w:szCs w:val="21"/>
              </w:rPr>
              <w:t>中标价）×</w:t>
            </w:r>
            <w:r>
              <w:rPr>
                <w:rFonts w:hint="eastAsia" w:ascii="宋体" w:hAnsi="宋体" w:cs="宋体"/>
                <w:color w:val="auto"/>
                <w:kern w:val="0"/>
                <w:szCs w:val="21"/>
                <w:lang w:val="en-US" w:eastAsia="zh-CN"/>
              </w:rPr>
              <w:t>3</w:t>
            </w:r>
            <w:r>
              <w:rPr>
                <w:rStyle w:val="60"/>
                <w:rFonts w:hint="eastAsia" w:ascii="宋体" w:hAnsi="宋体" w:cs="宋体"/>
                <w:color w:val="auto"/>
              </w:rPr>
              <w:t>，且最高不超过最高限价的85%</w:t>
            </w:r>
            <w:r>
              <w:rPr>
                <w:rStyle w:val="60"/>
                <w:rFonts w:hint="eastAsia" w:ascii="宋体" w:hAnsi="宋体" w:cs="宋体"/>
                <w:color w:val="auto"/>
                <w:lang w:eastAsia="zh-CN"/>
              </w:rPr>
              <w:t>，</w:t>
            </w:r>
            <w:r>
              <w:rPr>
                <w:rStyle w:val="60"/>
                <w:rFonts w:hint="eastAsia" w:ascii="宋体" w:hAnsi="宋体" w:cs="宋体"/>
                <w:color w:val="auto"/>
                <w:lang w:val="en-US" w:eastAsia="zh-CN"/>
              </w:rPr>
              <w:t>红名单中的中标人低价风险担保金额减半</w:t>
            </w:r>
            <w:r>
              <w:rPr>
                <w:rFonts w:hint="eastAsia" w:ascii="宋体" w:hAnsi="宋体" w:cs="宋体"/>
                <w:color w:val="auto"/>
                <w:kern w:val="0"/>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lang w:val="en-US" w:eastAsia="zh-CN"/>
              </w:rPr>
            </w:pPr>
            <w:r>
              <w:rPr>
                <w:rFonts w:hint="eastAsia" w:ascii="宋体" w:hAnsi="宋体" w:cs="宋体"/>
                <w:color w:val="auto"/>
                <w:kern w:val="0"/>
                <w:szCs w:val="21"/>
              </w:rPr>
              <w:t>（3）低价风险担保送达比选人的时间：</w:t>
            </w:r>
            <w:r>
              <w:rPr>
                <w:rFonts w:hint="eastAsia" w:ascii="宋体" w:hAnsi="宋体" w:cs="宋体"/>
                <w:color w:val="auto"/>
                <w:kern w:val="0"/>
                <w:szCs w:val="21"/>
                <w:lang w:val="en-US" w:eastAsia="zh-CN"/>
              </w:rPr>
              <w:t>中标候选人公示期结束后10个工作日内（施工合同签订前），中标人按担保金额向招标人提交低价风险担保；</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（4）中标人因自身原因未按中标通知书规定的时限与比选人签订合同的，招标人有权扣除其低价风险担保并取消中标资格。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（5）低价风险担保的期限：</w:t>
            </w:r>
            <w:r>
              <w:rPr>
                <w:rFonts w:hint="eastAsia" w:ascii="宋体" w:hAnsi="宋体" w:cs="宋体"/>
                <w:color w:val="auto"/>
                <w:kern w:val="0"/>
                <w:szCs w:val="21"/>
                <w:u w:val="single"/>
              </w:rPr>
              <w:t>自低价风险担保生效之日起至竣工验收合格之日止</w:t>
            </w:r>
            <w:r>
              <w:rPr>
                <w:rFonts w:hint="eastAsia" w:ascii="宋体" w:hAnsi="宋体" w:cs="宋体"/>
                <w:color w:val="auto"/>
                <w:kern w:val="0"/>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3、低价风险担保的退还时间：</w:t>
            </w:r>
            <w:r>
              <w:rPr>
                <w:rFonts w:hint="eastAsia" w:ascii="宋体" w:hAnsi="宋体" w:eastAsia="宋体" w:cs="宋体"/>
                <w:kern w:val="0"/>
                <w:szCs w:val="21"/>
                <w:lang w:val="en-US" w:eastAsia="zh-CN"/>
              </w:rPr>
              <w:t>工程竣工</w:t>
            </w:r>
            <w:r>
              <w:rPr>
                <w:rFonts w:hint="eastAsia" w:ascii="宋体" w:hAnsi="宋体" w:cs="宋体"/>
                <w:kern w:val="0"/>
                <w:szCs w:val="21"/>
                <w:lang w:val="en-US" w:eastAsia="zh-CN"/>
              </w:rPr>
              <w:t>验收合格</w:t>
            </w:r>
            <w:r>
              <w:rPr>
                <w:rFonts w:hint="eastAsia" w:ascii="宋体" w:hAnsi="宋体" w:eastAsia="宋体" w:cs="宋体"/>
                <w:kern w:val="0"/>
                <w:szCs w:val="21"/>
                <w:lang w:val="en-US" w:eastAsia="zh-CN"/>
              </w:rPr>
              <w:t>后</w:t>
            </w:r>
            <w:r>
              <w:rPr>
                <w:rFonts w:hint="eastAsia" w:ascii="宋体" w:hAnsi="宋体" w:cs="宋体"/>
                <w:kern w:val="0"/>
                <w:szCs w:val="21"/>
                <w:lang w:val="en-US" w:eastAsia="zh-CN"/>
              </w:rPr>
              <w:t>14</w:t>
            </w:r>
            <w:r>
              <w:rPr>
                <w:rFonts w:hint="eastAsia" w:ascii="宋体" w:hAnsi="宋体" w:eastAsia="宋体" w:cs="宋体"/>
                <w:kern w:val="0"/>
                <w:szCs w:val="21"/>
                <w:lang w:val="en-US" w:eastAsia="zh-CN"/>
              </w:rPr>
              <w:t>日</w:t>
            </w:r>
            <w:r>
              <w:rPr>
                <w:rFonts w:hint="eastAsia" w:ascii="宋体" w:hAnsi="宋体" w:cs="宋体"/>
                <w:kern w:val="0"/>
                <w:szCs w:val="21"/>
                <w:lang w:val="en-US" w:eastAsia="zh-CN"/>
              </w:rPr>
              <w:t>内无息</w:t>
            </w:r>
            <w:r>
              <w:rPr>
                <w:rFonts w:hint="eastAsia" w:ascii="宋体" w:hAnsi="宋体" w:eastAsia="宋体" w:cs="宋体"/>
                <w:kern w:val="0"/>
                <w:szCs w:val="21"/>
                <w:lang w:val="en-US" w:eastAsia="zh-CN"/>
              </w:rPr>
              <w:t>退还。</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10.</w:t>
            </w:r>
            <w:r>
              <w:rPr>
                <w:rFonts w:hint="eastAsia" w:ascii="宋体" w:hAnsi="宋体" w:cs="宋体"/>
                <w:kern w:val="0"/>
                <w:szCs w:val="21"/>
                <w:lang w:val="en-US" w:eastAsia="zh-CN"/>
              </w:rPr>
              <w:t>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rPr>
            </w:pPr>
            <w:r>
              <w:rPr>
                <w:rFonts w:hint="eastAsia" w:ascii="宋体" w:hAnsi="宋体" w:eastAsia="宋体" w:cs="宋体"/>
                <w:szCs w:val="21"/>
              </w:rPr>
              <w:t>1</w:t>
            </w:r>
            <w:r>
              <w:rPr>
                <w:rFonts w:hint="eastAsia" w:ascii="宋体" w:hAnsi="宋体" w:eastAsia="宋体" w:cs="宋体"/>
                <w:kern w:val="0"/>
                <w:szCs w:val="21"/>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2.比选代理服务费金额：</w:t>
            </w:r>
            <w:r>
              <w:rPr>
                <w:rFonts w:hint="eastAsia" w:ascii="宋体" w:hAnsi="宋体" w:cs="宋体"/>
                <w:b/>
                <w:bCs/>
                <w:kern w:val="0"/>
                <w:szCs w:val="21"/>
                <w:highlight w:val="none"/>
                <w:lang w:val="en-US" w:eastAsia="zh-CN"/>
              </w:rPr>
              <w:t>50</w:t>
            </w:r>
            <w:r>
              <w:rPr>
                <w:rFonts w:hint="eastAsia" w:ascii="宋体" w:hAnsi="宋体" w:eastAsia="宋体" w:cs="宋体"/>
                <w:b/>
                <w:bCs/>
                <w:kern w:val="0"/>
                <w:szCs w:val="21"/>
                <w:highlight w:val="none"/>
                <w:lang w:val="en-US" w:eastAsia="zh-CN"/>
              </w:rPr>
              <w:t>00</w:t>
            </w:r>
            <w:r>
              <w:rPr>
                <w:rFonts w:hint="eastAsia" w:ascii="宋体" w:hAnsi="宋体" w:eastAsia="宋体" w:cs="宋体"/>
                <w:b/>
                <w:kern w:val="0"/>
                <w:szCs w:val="21"/>
                <w:highlight w:val="none"/>
              </w:rPr>
              <w:t>元（大写：</w:t>
            </w:r>
            <w:r>
              <w:rPr>
                <w:rFonts w:hint="eastAsia" w:ascii="宋体" w:hAnsi="宋体" w:cs="宋体"/>
                <w:b/>
                <w:kern w:val="0"/>
                <w:szCs w:val="21"/>
                <w:highlight w:val="none"/>
                <w:lang w:val="en-US" w:eastAsia="zh-CN"/>
              </w:rPr>
              <w:t>伍仟</w:t>
            </w:r>
            <w:r>
              <w:rPr>
                <w:rFonts w:hint="eastAsia" w:ascii="宋体" w:hAnsi="宋体" w:eastAsia="宋体" w:cs="宋体"/>
                <w:b/>
                <w:kern w:val="0"/>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rPr>
            </w:pPr>
            <w:r>
              <w:rPr>
                <w:rFonts w:hint="eastAsia" w:ascii="宋体" w:hAnsi="宋体" w:eastAsia="宋体" w:cs="宋体"/>
                <w:kern w:val="0"/>
                <w:szCs w:val="21"/>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kern w:val="0"/>
          <w:szCs w:val="21"/>
        </w:rPr>
      </w:pPr>
      <w:bookmarkStart w:id="36" w:name="_Toc909"/>
      <w:bookmarkStart w:id="37" w:name="_Toc452058682"/>
      <w:bookmarkStart w:id="38" w:name="_Toc200513126"/>
      <w:bookmarkStart w:id="39" w:name="_Toc277082552"/>
      <w:bookmarkStart w:id="40" w:name="_Toc386029647"/>
      <w:bookmarkStart w:id="41" w:name="_Toc287607746"/>
      <w:bookmarkStart w:id="42" w:name="_Toc224103317"/>
      <w:bookmarkStart w:id="43" w:name="_Toc13995"/>
      <w:r>
        <w:rPr>
          <w:rFonts w:hint="eastAsia" w:ascii="宋体" w:hAnsi="宋体"/>
          <w:b/>
          <w:snapToGrid w:val="0"/>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kern w:val="0"/>
        </w:rPr>
      </w:pPr>
      <w:bookmarkStart w:id="44" w:name="_Toc386029648"/>
      <w:bookmarkStart w:id="45" w:name="_Toc277082553"/>
      <w:bookmarkStart w:id="46" w:name="_Toc287620686"/>
      <w:bookmarkStart w:id="47" w:name="_Toc26024"/>
      <w:bookmarkStart w:id="48" w:name="_Toc452058683"/>
      <w:bookmarkStart w:id="49" w:name="_Toc224103318"/>
      <w:bookmarkStart w:id="50" w:name="_Toc287607747"/>
      <w:bookmarkStart w:id="51" w:name="_Toc200513127"/>
      <w:r>
        <w:rPr>
          <w:rFonts w:ascii="宋体" w:hAnsi="宋体"/>
          <w:b/>
          <w:snapToGrid w:val="0"/>
          <w:kern w:val="0"/>
        </w:rPr>
        <w:t xml:space="preserve">1.1  </w:t>
      </w:r>
      <w:r>
        <w:rPr>
          <w:rFonts w:hint="eastAsia" w:ascii="宋体" w:hAnsi="宋体"/>
          <w:b/>
          <w:snapToGrid w:val="0"/>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w:t>
      </w:r>
      <w:r>
        <w:rPr>
          <w:rFonts w:hint="eastAsia" w:ascii="宋体" w:hAnsi="宋体"/>
          <w:snapToGrid w:val="0"/>
          <w:kern w:val="0"/>
          <w:szCs w:val="21"/>
        </w:rPr>
        <w:t>比选</w:t>
      </w:r>
      <w:r>
        <w:rPr>
          <w:rFonts w:hint="eastAsia" w:ascii="宋体" w:hAnsi="宋体" w:cs="MingLiU"/>
          <w:snapToGrid w:val="0"/>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kern w:val="0"/>
        </w:rPr>
      </w:pPr>
      <w:bookmarkStart w:id="52" w:name="_Toc11476"/>
      <w:bookmarkStart w:id="53" w:name="_Toc452058684"/>
      <w:bookmarkStart w:id="54" w:name="_Toc287620687"/>
      <w:bookmarkStart w:id="55" w:name="_Toc287607748"/>
      <w:bookmarkStart w:id="56" w:name="_Toc386029649"/>
      <w:bookmarkStart w:id="57" w:name="_Toc224103319"/>
      <w:bookmarkStart w:id="58" w:name="_Toc277082554"/>
      <w:bookmarkStart w:id="59" w:name="_Toc200513128"/>
      <w:r>
        <w:rPr>
          <w:rFonts w:ascii="宋体" w:hAnsi="宋体"/>
          <w:b/>
          <w:snapToGrid w:val="0"/>
          <w:kern w:val="0"/>
        </w:rPr>
        <w:t xml:space="preserve">1.2  </w:t>
      </w:r>
      <w:r>
        <w:rPr>
          <w:rFonts w:hint="eastAsia" w:ascii="宋体" w:hAnsi="宋体"/>
          <w:b/>
          <w:snapToGrid w:val="0"/>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kern w:val="0"/>
        </w:rPr>
      </w:pPr>
      <w:bookmarkStart w:id="60" w:name="_Toc287607749"/>
      <w:bookmarkStart w:id="61" w:name="_Toc200513129"/>
      <w:bookmarkStart w:id="62" w:name="_Toc452058685"/>
      <w:bookmarkStart w:id="63" w:name="_Toc386029650"/>
      <w:bookmarkStart w:id="64" w:name="_Toc287620688"/>
      <w:bookmarkStart w:id="65" w:name="_Toc277082555"/>
      <w:bookmarkStart w:id="66" w:name="_Toc22034"/>
      <w:bookmarkStart w:id="67" w:name="_Toc224103320"/>
      <w:r>
        <w:rPr>
          <w:rFonts w:ascii="宋体" w:hAnsi="宋体"/>
          <w:b/>
          <w:snapToGrid w:val="0"/>
          <w:kern w:val="0"/>
        </w:rPr>
        <w:t xml:space="preserve">1.3  </w:t>
      </w:r>
      <w:r>
        <w:rPr>
          <w:rFonts w:hint="eastAsia" w:ascii="宋体" w:hAnsi="宋体"/>
          <w:b/>
          <w:snapToGrid w:val="0"/>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kern w:val="0"/>
        </w:rPr>
      </w:pPr>
      <w:bookmarkStart w:id="68" w:name="_Toc287607751"/>
      <w:bookmarkStart w:id="69" w:name="_Toc200513131"/>
      <w:bookmarkStart w:id="70" w:name="_Toc386029651"/>
      <w:bookmarkStart w:id="71" w:name="_Toc224103322"/>
      <w:bookmarkStart w:id="72" w:name="_Toc287620690"/>
      <w:bookmarkStart w:id="73" w:name="_Toc11398"/>
      <w:bookmarkStart w:id="74" w:name="_Toc452058686"/>
      <w:bookmarkStart w:id="75" w:name="_Toc277082557"/>
      <w:r>
        <w:rPr>
          <w:rFonts w:ascii="宋体" w:hAnsi="宋体"/>
          <w:b/>
          <w:snapToGrid w:val="0"/>
          <w:kern w:val="0"/>
        </w:rPr>
        <w:t xml:space="preserve">1.4  </w:t>
      </w:r>
      <w:r>
        <w:rPr>
          <w:rFonts w:hint="eastAsia" w:ascii="宋体" w:hAnsi="宋体"/>
          <w:b/>
          <w:snapToGrid w:val="0"/>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w:t>
      </w:r>
      <w:r>
        <w:rPr>
          <w:rFonts w:hint="eastAsia" w:ascii="宋体" w:hAnsi="宋体" w:cs="MingLiU"/>
          <w:snapToGrid w:val="0"/>
          <w:kern w:val="0"/>
          <w:position w:val="-2"/>
          <w:szCs w:val="21"/>
        </w:rPr>
        <w:t>人存在利害关系可能影响招标公正性的法人、其他组织或者个人；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76" w:name="_Toc287620691"/>
      <w:bookmarkStart w:id="77" w:name="_Toc200513132"/>
      <w:bookmarkStart w:id="78" w:name="_Toc277082558"/>
      <w:bookmarkStart w:id="79" w:name="_Toc287607752"/>
      <w:bookmarkStart w:id="80" w:name="_Toc1875"/>
      <w:bookmarkStart w:id="81" w:name="_Toc452058687"/>
      <w:bookmarkStart w:id="82" w:name="_Toc224103323"/>
      <w:bookmarkStart w:id="83" w:name="_Toc386029652"/>
      <w:r>
        <w:rPr>
          <w:rFonts w:ascii="宋体" w:hAnsi="宋体"/>
          <w:b/>
          <w:snapToGrid w:val="0"/>
          <w:kern w:val="0"/>
        </w:rPr>
        <w:t xml:space="preserve">1.5  </w:t>
      </w:r>
      <w:r>
        <w:rPr>
          <w:rFonts w:hint="eastAsia" w:ascii="宋体" w:hAnsi="宋体"/>
          <w:b/>
          <w:snapToGrid w:val="0"/>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kern w:val="0"/>
        </w:rPr>
      </w:pPr>
      <w:bookmarkStart w:id="84" w:name="_Toc386029653"/>
      <w:bookmarkStart w:id="85" w:name="_Toc7780"/>
      <w:bookmarkStart w:id="86" w:name="_Toc200513133"/>
      <w:bookmarkStart w:id="87" w:name="_Toc287607753"/>
      <w:bookmarkStart w:id="88" w:name="_Toc277082559"/>
      <w:bookmarkStart w:id="89" w:name="_Toc287620692"/>
      <w:bookmarkStart w:id="90" w:name="_Toc452058688"/>
      <w:bookmarkStart w:id="91" w:name="_Toc224103324"/>
      <w:r>
        <w:rPr>
          <w:rFonts w:ascii="宋体" w:hAnsi="宋体"/>
          <w:b/>
          <w:snapToGrid w:val="0"/>
          <w:kern w:val="0"/>
        </w:rPr>
        <w:t xml:space="preserve">1.6  </w:t>
      </w:r>
      <w:r>
        <w:rPr>
          <w:rFonts w:hint="eastAsia" w:ascii="宋体" w:hAnsi="宋体"/>
          <w:b/>
          <w:snapToGrid w:val="0"/>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kern w:val="0"/>
        </w:rPr>
      </w:pPr>
      <w:bookmarkStart w:id="92" w:name="_Toc224103325"/>
      <w:bookmarkStart w:id="93" w:name="_Toc452058689"/>
      <w:bookmarkStart w:id="94" w:name="_Toc23797"/>
      <w:bookmarkStart w:id="95" w:name="_Toc277082560"/>
      <w:bookmarkStart w:id="96" w:name="_Toc200513134"/>
      <w:bookmarkStart w:id="97" w:name="_Toc386029654"/>
      <w:bookmarkStart w:id="98" w:name="_Toc287620693"/>
      <w:bookmarkStart w:id="99" w:name="_Toc287607754"/>
      <w:r>
        <w:rPr>
          <w:rFonts w:ascii="宋体" w:hAnsi="宋体"/>
          <w:b/>
          <w:snapToGrid w:val="0"/>
          <w:kern w:val="0"/>
        </w:rPr>
        <w:t xml:space="preserve">1.7  </w:t>
      </w:r>
      <w:r>
        <w:rPr>
          <w:rFonts w:hint="eastAsia" w:ascii="宋体" w:hAnsi="宋体"/>
          <w:b/>
          <w:snapToGrid w:val="0"/>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kern w:val="0"/>
        </w:rPr>
      </w:pPr>
      <w:bookmarkStart w:id="100" w:name="_Toc224103326"/>
      <w:bookmarkStart w:id="101" w:name="_Toc386029655"/>
      <w:bookmarkStart w:id="102" w:name="_Toc26466"/>
      <w:bookmarkStart w:id="103" w:name="_Toc452058690"/>
      <w:bookmarkStart w:id="104" w:name="_Toc200513135"/>
      <w:bookmarkStart w:id="105" w:name="_Toc287607755"/>
      <w:bookmarkStart w:id="106" w:name="_Toc277082561"/>
      <w:bookmarkStart w:id="107" w:name="_Toc287620694"/>
      <w:r>
        <w:rPr>
          <w:rFonts w:ascii="宋体" w:hAnsi="宋体"/>
          <w:b/>
          <w:snapToGrid w:val="0"/>
          <w:kern w:val="0"/>
        </w:rPr>
        <w:t xml:space="preserve">1.8  </w:t>
      </w:r>
      <w:r>
        <w:rPr>
          <w:rFonts w:hint="eastAsia" w:ascii="宋体" w:hAnsi="宋体"/>
          <w:b/>
          <w:snapToGrid w:val="0"/>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kern w:val="0"/>
        </w:rPr>
      </w:pPr>
      <w:bookmarkStart w:id="108" w:name="_Toc287620695"/>
      <w:bookmarkStart w:id="109" w:name="_Toc16750"/>
      <w:bookmarkStart w:id="110" w:name="_Toc200513136"/>
      <w:bookmarkStart w:id="111" w:name="_Toc452058691"/>
      <w:bookmarkStart w:id="112" w:name="_Toc287607756"/>
      <w:bookmarkStart w:id="113" w:name="_Toc224103327"/>
      <w:bookmarkStart w:id="114" w:name="_Toc277082562"/>
      <w:bookmarkStart w:id="115" w:name="_Toc386029656"/>
      <w:r>
        <w:rPr>
          <w:rFonts w:ascii="宋体" w:hAnsi="宋体"/>
          <w:b/>
          <w:snapToGrid w:val="0"/>
          <w:kern w:val="0"/>
        </w:rPr>
        <w:t xml:space="preserve">1.9  </w:t>
      </w:r>
      <w:r>
        <w:rPr>
          <w:rFonts w:hint="eastAsia" w:ascii="宋体" w:hAnsi="宋体"/>
          <w:b/>
          <w:snapToGrid w:val="0"/>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kern w:val="0"/>
        </w:rPr>
      </w:pPr>
      <w:bookmarkStart w:id="116" w:name="_Toc287620696"/>
      <w:bookmarkStart w:id="117" w:name="_Toc224103328"/>
      <w:bookmarkStart w:id="118" w:name="_Toc287607757"/>
      <w:bookmarkStart w:id="119" w:name="_Toc200513137"/>
      <w:bookmarkStart w:id="120" w:name="_Toc452058692"/>
      <w:bookmarkStart w:id="121" w:name="_Toc9283"/>
      <w:bookmarkStart w:id="122" w:name="_Toc386029657"/>
      <w:bookmarkStart w:id="123" w:name="_Toc277082563"/>
      <w:r>
        <w:rPr>
          <w:rFonts w:ascii="宋体" w:hAnsi="宋体"/>
          <w:b/>
          <w:snapToGrid w:val="0"/>
          <w:kern w:val="0"/>
        </w:rPr>
        <w:t xml:space="preserve">1.10  </w:t>
      </w:r>
      <w:r>
        <w:rPr>
          <w:rFonts w:hint="eastAsia" w:ascii="宋体" w:hAnsi="宋体"/>
          <w:b/>
          <w:snapToGrid w:val="0"/>
          <w:kern w:val="0"/>
        </w:rPr>
        <w:t>投标预备会</w:t>
      </w:r>
      <w:bookmarkEnd w:id="116"/>
      <w:bookmarkEnd w:id="117"/>
      <w:bookmarkEnd w:id="118"/>
      <w:bookmarkEnd w:id="119"/>
      <w:bookmarkEnd w:id="120"/>
      <w:bookmarkEnd w:id="121"/>
      <w:bookmarkEnd w:id="122"/>
      <w:bookmarkEnd w:id="123"/>
      <w:bookmarkStart w:id="124" w:name="_Toc277082564"/>
      <w:bookmarkStart w:id="125" w:name="_Toc224103329"/>
      <w:bookmarkStart w:id="126" w:name="_Toc287607758"/>
      <w:bookmarkStart w:id="127" w:name="_Toc287620697"/>
      <w:bookmarkStart w:id="128" w:name="_Toc200513138"/>
    </w:p>
    <w:p>
      <w:pPr>
        <w:spacing w:line="38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autoSpaceDE w:val="0"/>
        <w:autoSpaceDN w:val="0"/>
        <w:adjustRightInd w:val="0"/>
        <w:snapToGrid w:val="0"/>
        <w:spacing w:line="380" w:lineRule="exact"/>
        <w:jc w:val="left"/>
        <w:rPr>
          <w:rFonts w:ascii="宋体" w:hAnsi="宋体"/>
          <w:b/>
          <w:snapToGrid w:val="0"/>
          <w:kern w:val="0"/>
        </w:rPr>
      </w:pPr>
      <w:bookmarkStart w:id="129" w:name="_Toc21003"/>
      <w:bookmarkStart w:id="130" w:name="_Toc452058693"/>
      <w:bookmarkStart w:id="131" w:name="_Toc386029658"/>
      <w:r>
        <w:rPr>
          <w:rFonts w:ascii="宋体" w:hAnsi="宋体"/>
          <w:b/>
          <w:snapToGrid w:val="0"/>
          <w:kern w:val="0"/>
        </w:rPr>
        <w:t xml:space="preserve">1.11  </w:t>
      </w:r>
      <w:r>
        <w:rPr>
          <w:rFonts w:hint="eastAsia" w:ascii="宋体" w:hAnsi="宋体"/>
          <w:b/>
          <w:snapToGrid w:val="0"/>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szCs w:val="21"/>
        </w:rPr>
      </w:pPr>
      <w:bookmarkStart w:id="132" w:name="_Toc224103330"/>
      <w:bookmarkStart w:id="133" w:name="_Toc2639"/>
      <w:bookmarkStart w:id="134" w:name="_Toc287607759"/>
      <w:bookmarkStart w:id="135" w:name="_Toc386029659"/>
      <w:bookmarkStart w:id="136" w:name="_Toc277082565"/>
      <w:bookmarkStart w:id="137" w:name="_Toc287620698"/>
      <w:bookmarkStart w:id="138" w:name="_Toc200513139"/>
      <w:r>
        <w:rPr>
          <w:rFonts w:hint="eastAsia" w:ascii="宋体" w:hAnsi="宋体"/>
          <w:szCs w:val="21"/>
        </w:rPr>
        <w:t>本工程不允许分包。</w:t>
      </w:r>
    </w:p>
    <w:p>
      <w:pPr>
        <w:autoSpaceDE w:val="0"/>
        <w:autoSpaceDN w:val="0"/>
        <w:adjustRightInd w:val="0"/>
        <w:snapToGrid w:val="0"/>
        <w:spacing w:line="380" w:lineRule="exact"/>
        <w:jc w:val="left"/>
        <w:rPr>
          <w:rFonts w:ascii="宋体" w:hAnsi="宋体"/>
          <w:b/>
          <w:snapToGrid w:val="0"/>
          <w:kern w:val="0"/>
        </w:rPr>
      </w:pPr>
      <w:bookmarkStart w:id="139" w:name="_Toc452058694"/>
      <w:r>
        <w:rPr>
          <w:rFonts w:ascii="宋体" w:hAnsi="宋体"/>
          <w:b/>
          <w:snapToGrid w:val="0"/>
          <w:kern w:val="0"/>
        </w:rPr>
        <w:t xml:space="preserve">1.12  </w:t>
      </w:r>
      <w:r>
        <w:rPr>
          <w:rFonts w:hint="eastAsia" w:ascii="宋体" w:hAnsi="宋体"/>
          <w:b/>
          <w:snapToGrid w:val="0"/>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kern w:val="0"/>
          <w:sz w:val="24"/>
        </w:rPr>
      </w:pPr>
      <w:bookmarkStart w:id="140" w:name="_Toc3930"/>
      <w:bookmarkStart w:id="141" w:name="_Toc287607760"/>
      <w:bookmarkStart w:id="142" w:name="_Toc386029660"/>
      <w:bookmarkStart w:id="143" w:name="_Toc277082566"/>
      <w:bookmarkStart w:id="144" w:name="_Toc8538"/>
      <w:bookmarkStart w:id="145" w:name="_Toc224103331"/>
      <w:bookmarkStart w:id="146" w:name="_Toc200513140"/>
      <w:r>
        <w:rPr>
          <w:rFonts w:hint="eastAsia" w:ascii="宋体" w:hAnsi="宋体" w:cs="MingLiU"/>
          <w:snapToGrid w:val="0"/>
          <w:kern w:val="0"/>
          <w:szCs w:val="21"/>
        </w:rPr>
        <w:t>投标人须知前附表允许投标文件偏离</w:t>
      </w:r>
      <w:r>
        <w:rPr>
          <w:rFonts w:hint="eastAsia" w:ascii="宋体" w:hAnsi="宋体" w:cs="宋体"/>
          <w:color w:val="auto"/>
          <w:szCs w:val="21"/>
          <w:lang w:val="en-US" w:eastAsia="zh-CN"/>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autoSpaceDE w:val="0"/>
        <w:autoSpaceDN w:val="0"/>
        <w:adjustRightInd w:val="0"/>
        <w:snapToGrid w:val="0"/>
        <w:spacing w:line="380" w:lineRule="exact"/>
        <w:jc w:val="left"/>
        <w:rPr>
          <w:rFonts w:ascii="宋体" w:hAnsi="宋体"/>
          <w:b/>
          <w:snapToGrid w:val="0"/>
          <w:kern w:val="0"/>
        </w:rPr>
      </w:pPr>
      <w:bookmarkStart w:id="147" w:name="_Toc452058695"/>
      <w:r>
        <w:rPr>
          <w:rFonts w:ascii="宋体" w:hAnsi="宋体"/>
          <w:b/>
          <w:snapToGrid w:val="0"/>
          <w:kern w:val="0"/>
        </w:rPr>
        <w:t xml:space="preserve">2.  </w:t>
      </w:r>
      <w:r>
        <w:rPr>
          <w:rFonts w:hint="eastAsia" w:ascii="宋体" w:hAnsi="宋体"/>
          <w:b/>
          <w:snapToGrid w:val="0"/>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kern w:val="0"/>
        </w:rPr>
      </w:pPr>
      <w:bookmarkStart w:id="148" w:name="_Toc200513141"/>
      <w:bookmarkStart w:id="149" w:name="_Toc287607761"/>
      <w:bookmarkStart w:id="150" w:name="_Toc24222"/>
      <w:bookmarkStart w:id="151" w:name="_Toc224103332"/>
      <w:bookmarkStart w:id="152" w:name="_Toc277082567"/>
      <w:bookmarkStart w:id="153" w:name="_Toc287620700"/>
      <w:bookmarkStart w:id="154" w:name="_Toc452058696"/>
      <w:bookmarkStart w:id="155" w:name="_Toc386029661"/>
      <w:r>
        <w:rPr>
          <w:rFonts w:ascii="宋体" w:hAnsi="宋体"/>
          <w:b/>
          <w:snapToGrid w:val="0"/>
          <w:kern w:val="0"/>
        </w:rPr>
        <w:t xml:space="preserve">2.1  </w:t>
      </w:r>
      <w:r>
        <w:rPr>
          <w:rFonts w:hint="eastAsia" w:ascii="宋体" w:hAnsi="宋体"/>
          <w:b/>
          <w:snapToGrid w:val="0"/>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文件包括：</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1.10</w:t>
      </w:r>
      <w:r>
        <w:rPr>
          <w:rFonts w:hint="eastAsia" w:ascii="宋体" w:hAnsi="宋体" w:cs="MingLiU"/>
          <w:snapToGrid w:val="0"/>
          <w:kern w:val="0"/>
          <w:szCs w:val="21"/>
        </w:rPr>
        <w:t>款、第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文件的组成部分。</w:t>
      </w:r>
    </w:p>
    <w:p>
      <w:pPr>
        <w:autoSpaceDE w:val="0"/>
        <w:autoSpaceDN w:val="0"/>
        <w:adjustRightInd w:val="0"/>
        <w:snapToGrid w:val="0"/>
        <w:spacing w:line="380" w:lineRule="exact"/>
        <w:jc w:val="left"/>
        <w:rPr>
          <w:rFonts w:ascii="宋体" w:hAnsi="宋体"/>
          <w:b/>
          <w:snapToGrid w:val="0"/>
          <w:kern w:val="0"/>
        </w:rPr>
      </w:pPr>
      <w:bookmarkStart w:id="156" w:name="_Toc200513142"/>
      <w:bookmarkStart w:id="157" w:name="_Toc224103333"/>
      <w:bookmarkStart w:id="158" w:name="_Toc287607762"/>
      <w:bookmarkStart w:id="159" w:name="_Toc24022"/>
      <w:bookmarkStart w:id="160" w:name="_Toc452058697"/>
      <w:bookmarkStart w:id="161" w:name="_Toc386029662"/>
      <w:bookmarkStart w:id="162" w:name="_Toc277082568"/>
      <w:bookmarkStart w:id="163" w:name="_Toc287620701"/>
      <w:r>
        <w:rPr>
          <w:rFonts w:ascii="宋体" w:hAnsi="宋体"/>
          <w:b/>
          <w:snapToGrid w:val="0"/>
          <w:kern w:val="0"/>
        </w:rPr>
        <w:t xml:space="preserve">2.2 </w:t>
      </w:r>
      <w:r>
        <w:rPr>
          <w:rFonts w:hint="eastAsia" w:ascii="宋体" w:hAnsi="宋体"/>
          <w:b/>
          <w:snapToGrid w:val="0"/>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kern w:val="0"/>
        </w:rPr>
      </w:pPr>
      <w:bookmarkStart w:id="164" w:name="_Toc287620702"/>
      <w:bookmarkStart w:id="165" w:name="_Toc224103334"/>
      <w:bookmarkStart w:id="166" w:name="_Toc277082569"/>
      <w:bookmarkStart w:id="167" w:name="_Toc287607763"/>
      <w:bookmarkStart w:id="168" w:name="_Toc200513143"/>
      <w:r>
        <w:rPr>
          <w:rFonts w:hint="eastAsia" w:ascii="宋体" w:hAnsi="宋体"/>
          <w:snapToGrid w:val="0"/>
          <w:kern w:val="0"/>
        </w:rPr>
        <w:t>2.2.1 投标人应仔细阅读和检查比选文件的全部内容。如发现缺页或附件不全，应在投标人须知前附表规定的时间前，及时将其质疑以匿名传真至</w:t>
      </w:r>
      <w:r>
        <w:rPr>
          <w:rFonts w:hint="eastAsia" w:ascii="宋体" w:hAnsi="宋体" w:cs="宋体"/>
          <w:color w:val="auto"/>
          <w:szCs w:val="21"/>
          <w:lang w:val="en-US" w:eastAsia="zh-CN"/>
        </w:rPr>
        <w:t>比选</w:t>
      </w:r>
      <w:r>
        <w:rPr>
          <w:rFonts w:hint="eastAsia" w:ascii="宋体" w:hAnsi="宋体"/>
          <w:snapToGrid w:val="0"/>
          <w:kern w:val="0"/>
        </w:rPr>
        <w:t>代理机构</w:t>
      </w:r>
      <w:r>
        <w:rPr>
          <w:rFonts w:hint="eastAsia" w:ascii="宋体" w:hAnsi="宋体"/>
          <w:bCs/>
          <w:snapToGrid w:val="0"/>
          <w:kern w:val="0"/>
        </w:rPr>
        <w:t>，</w:t>
      </w:r>
      <w:r>
        <w:rPr>
          <w:rFonts w:hint="eastAsia" w:ascii="宋体" w:hAnsi="宋体"/>
          <w:snapToGrid w:val="0"/>
          <w:kern w:val="0"/>
        </w:rPr>
        <w:t>要求比选人对比选文件予以澄清。</w:t>
      </w:r>
    </w:p>
    <w:p>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宋体"/>
          <w:kern w:val="0"/>
          <w:szCs w:val="21"/>
          <w:lang w:eastAsia="zh-CN"/>
        </w:rPr>
        <w:t>重庆安居古城网站（http://www.anjugc.cn/index.htm）</w:t>
      </w:r>
      <w:r>
        <w:rPr>
          <w:rFonts w:hint="eastAsia" w:ascii="宋体" w:hAnsi="宋体"/>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69" w:name="_Toc16533"/>
      <w:bookmarkStart w:id="170" w:name="_Toc386029663"/>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kern w:val="0"/>
        </w:rPr>
      </w:pPr>
      <w:bookmarkStart w:id="171" w:name="_Toc452058698"/>
      <w:r>
        <w:rPr>
          <w:rFonts w:ascii="宋体" w:hAnsi="宋体"/>
          <w:b/>
          <w:snapToGrid w:val="0"/>
          <w:kern w:val="0"/>
        </w:rPr>
        <w:t xml:space="preserve">2.3 </w:t>
      </w:r>
      <w:r>
        <w:rPr>
          <w:rFonts w:hint="eastAsia" w:ascii="宋体" w:hAnsi="宋体"/>
          <w:b/>
          <w:snapToGrid w:val="0"/>
          <w:kern w:val="0"/>
        </w:rPr>
        <w:t>比选文件的修改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rPr>
      </w:pPr>
      <w:bookmarkStart w:id="172" w:name="_Toc277082570"/>
      <w:bookmarkStart w:id="173" w:name="_Toc287607764"/>
      <w:bookmarkStart w:id="174" w:name="_Toc224103335"/>
      <w:bookmarkStart w:id="175" w:name="_Toc200513144"/>
      <w:r>
        <w:rPr>
          <w:rFonts w:ascii="宋体" w:hAnsi="宋体"/>
        </w:rPr>
        <w:t>2.3.1</w:t>
      </w:r>
      <w:r>
        <w:rPr>
          <w:rFonts w:hint="eastAsia" w:ascii="宋体" w:hAnsi="宋体"/>
        </w:rPr>
        <w:t>比选文件的修改在</w:t>
      </w:r>
      <w:r>
        <w:rPr>
          <w:rFonts w:hint="eastAsia" w:ascii="宋体" w:hAnsi="宋体" w:cs="宋体"/>
          <w:kern w:val="0"/>
          <w:szCs w:val="21"/>
          <w:lang w:eastAsia="zh-CN"/>
        </w:rPr>
        <w:t>重庆安居古城网站（http://www.anjugc.cn/index.htm）</w:t>
      </w:r>
      <w:r>
        <w:rPr>
          <w:rFonts w:hint="eastAsia" w:ascii="宋体" w:hAnsi="宋体"/>
          <w:snapToGrid w:val="0"/>
          <w:kern w:val="0"/>
        </w:rPr>
        <w:t>上</w:t>
      </w:r>
      <w:r>
        <w:rPr>
          <w:rFonts w:hint="eastAsia" w:ascii="宋体" w:hAnsi="宋体"/>
        </w:rPr>
        <w:t>公告。如果修改比选文件的时间距投标截止时间不足3天且影响投标文件编制的，相应延长投标截止时间。</w:t>
      </w:r>
    </w:p>
    <w:p>
      <w:pPr>
        <w:spacing w:line="380" w:lineRule="exact"/>
        <w:ind w:firstLine="420" w:firstLineChars="200"/>
        <w:jc w:val="left"/>
        <w:rPr>
          <w:rFonts w:ascii="宋体" w:hAnsi="宋体"/>
        </w:rPr>
      </w:pPr>
      <w:bookmarkStart w:id="176" w:name="_Toc16595"/>
      <w:bookmarkStart w:id="177" w:name="_Toc32055"/>
      <w:bookmarkStart w:id="178" w:name="_Toc386029664"/>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kern w:val="0"/>
        </w:rPr>
      </w:pPr>
      <w:bookmarkStart w:id="179" w:name="_Toc452058699"/>
      <w:r>
        <w:rPr>
          <w:rFonts w:ascii="宋体" w:hAnsi="宋体"/>
          <w:b/>
          <w:snapToGrid w:val="0"/>
          <w:kern w:val="0"/>
        </w:rPr>
        <w:t xml:space="preserve">3.  </w:t>
      </w:r>
      <w:r>
        <w:rPr>
          <w:rFonts w:hint="eastAsia" w:ascii="宋体" w:hAnsi="宋体"/>
          <w:b/>
          <w:snapToGrid w:val="0"/>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kern w:val="0"/>
        </w:rPr>
      </w:pPr>
      <w:bookmarkStart w:id="180" w:name="_Toc10647"/>
      <w:bookmarkStart w:id="181" w:name="_Toc287620704"/>
      <w:bookmarkStart w:id="182" w:name="_Toc224103336"/>
      <w:bookmarkStart w:id="183" w:name="_Toc287607765"/>
      <w:bookmarkStart w:id="184" w:name="_Toc277082571"/>
      <w:bookmarkStart w:id="185" w:name="_Toc452058700"/>
      <w:bookmarkStart w:id="186" w:name="_Toc386029665"/>
      <w:bookmarkStart w:id="187" w:name="_Toc200513145"/>
      <w:r>
        <w:rPr>
          <w:rFonts w:ascii="宋体" w:hAnsi="宋体"/>
          <w:b/>
          <w:snapToGrid w:val="0"/>
          <w:kern w:val="0"/>
        </w:rPr>
        <w:t xml:space="preserve">3.1  </w:t>
      </w:r>
      <w:r>
        <w:rPr>
          <w:rFonts w:hint="eastAsia" w:ascii="宋体" w:hAnsi="宋体"/>
          <w:b/>
          <w:snapToGrid w:val="0"/>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400" w:lineRule="exact"/>
        <w:ind w:firstLine="420" w:firstLineChars="200"/>
        <w:rPr>
          <w:rFonts w:ascii="宋体" w:hAnsi="宋体"/>
        </w:rPr>
      </w:pPr>
      <w:r>
        <w:rPr>
          <w:rFonts w:hint="eastAsia" w:ascii="宋体" w:hAnsi="宋体"/>
        </w:rPr>
        <w:t>3.1.1.1投标函部分</w:t>
      </w:r>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（2）投标函附录</w:t>
      </w:r>
    </w:p>
    <w:p>
      <w:pPr>
        <w:spacing w:line="400" w:lineRule="exact"/>
        <w:ind w:firstLine="420" w:firstLineChars="200"/>
        <w:rPr>
          <w:rFonts w:ascii="宋体" w:hAnsi="宋体"/>
        </w:rPr>
      </w:pPr>
      <w:r>
        <w:rPr>
          <w:rFonts w:hint="eastAsia" w:ascii="宋体" w:hAnsi="宋体"/>
        </w:rPr>
        <w:t>（3）法定代表人身份证明或附有法定代表人身份证明的授权委托书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3.1.1.2经济部分</w:t>
      </w:r>
    </w:p>
    <w:p>
      <w:pPr>
        <w:spacing w:line="400" w:lineRule="exact"/>
        <w:ind w:firstLine="420" w:firstLineChars="200"/>
        <w:rPr>
          <w:rFonts w:ascii="宋体" w:hAnsi="宋体"/>
        </w:rPr>
      </w:pPr>
      <w:r>
        <w:rPr>
          <w:rFonts w:hint="eastAsia" w:ascii="宋体" w:hAnsi="宋体"/>
        </w:rPr>
        <w:t>（1）已标价工程量清单</w:t>
      </w:r>
    </w:p>
    <w:p>
      <w:pPr>
        <w:spacing w:line="400" w:lineRule="exact"/>
        <w:ind w:firstLine="420" w:firstLineChars="200"/>
        <w:rPr>
          <w:rFonts w:ascii="宋体" w:hAnsi="宋体"/>
        </w:rPr>
      </w:pPr>
      <w:r>
        <w:rPr>
          <w:rFonts w:hint="eastAsia" w:ascii="宋体" w:hAnsi="宋体"/>
        </w:rPr>
        <w:t>3.1.1.3资格审查部分</w:t>
      </w:r>
    </w:p>
    <w:p>
      <w:pPr>
        <w:spacing w:line="400" w:lineRule="exact"/>
        <w:ind w:firstLine="420" w:firstLineChars="200"/>
        <w:rPr>
          <w:rFonts w:ascii="宋体" w:hAnsi="宋体"/>
        </w:rPr>
      </w:pPr>
      <w:r>
        <w:rPr>
          <w:rFonts w:hint="eastAsia" w:ascii="宋体" w:hAnsi="宋体"/>
        </w:rPr>
        <w:t>（1）法定代表人身份证明或附有法定代表人身份证明的授权委托书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（2）投标人基本情况表</w:t>
      </w:r>
    </w:p>
    <w:p>
      <w:pPr>
        <w:spacing w:line="400" w:lineRule="exact"/>
        <w:ind w:firstLine="420" w:firstLineChars="200"/>
        <w:rPr>
          <w:rFonts w:ascii="宋体" w:hAnsi="宋体"/>
        </w:rPr>
      </w:pPr>
      <w:r>
        <w:rPr>
          <w:rFonts w:hint="eastAsia" w:ascii="宋体" w:hAnsi="宋体"/>
        </w:rPr>
        <w:t>（3）投标人基本情况表</w:t>
      </w:r>
    </w:p>
    <w:p>
      <w:pPr>
        <w:spacing w:line="400" w:lineRule="exact"/>
        <w:ind w:firstLine="420" w:firstLineChars="200"/>
        <w:rPr>
          <w:rFonts w:ascii="宋体" w:hAnsi="宋体"/>
        </w:rPr>
      </w:pPr>
      <w:r>
        <w:rPr>
          <w:rFonts w:hint="eastAsia" w:ascii="宋体" w:hAnsi="宋体"/>
        </w:rPr>
        <w:t>（4）承诺</w:t>
      </w:r>
    </w:p>
    <w:p>
      <w:pPr>
        <w:spacing w:line="400" w:lineRule="exact"/>
        <w:ind w:firstLine="420" w:firstLineChars="200"/>
        <w:rPr>
          <w:rFonts w:ascii="宋体" w:hAnsi="宋体"/>
        </w:rPr>
      </w:pPr>
      <w:r>
        <w:rPr>
          <w:rFonts w:hint="eastAsia" w:ascii="宋体" w:hAnsi="宋体"/>
        </w:rPr>
        <w:t>（5）其他资料</w:t>
      </w:r>
    </w:p>
    <w:p>
      <w:pPr>
        <w:autoSpaceDE w:val="0"/>
        <w:autoSpaceDN w:val="0"/>
        <w:adjustRightInd w:val="0"/>
        <w:snapToGrid w:val="0"/>
        <w:spacing w:line="380" w:lineRule="exact"/>
        <w:jc w:val="left"/>
        <w:rPr>
          <w:rFonts w:ascii="宋体" w:hAnsi="宋体"/>
          <w:b/>
          <w:snapToGrid w:val="0"/>
          <w:kern w:val="0"/>
        </w:rPr>
      </w:pPr>
      <w:bookmarkStart w:id="188" w:name="_Toc18950"/>
      <w:bookmarkStart w:id="189" w:name="_Toc224103337"/>
      <w:bookmarkStart w:id="190" w:name="_Toc386029666"/>
      <w:bookmarkStart w:id="191" w:name="_Toc452058701"/>
      <w:bookmarkStart w:id="192" w:name="_Toc287620705"/>
      <w:bookmarkStart w:id="193" w:name="_Toc200513146"/>
      <w:bookmarkStart w:id="194" w:name="_Toc287607766"/>
      <w:bookmarkStart w:id="195" w:name="_Toc277082572"/>
      <w:r>
        <w:rPr>
          <w:rFonts w:ascii="宋体" w:hAnsi="宋体"/>
          <w:b/>
          <w:snapToGrid w:val="0"/>
          <w:kern w:val="0"/>
        </w:rPr>
        <w:t xml:space="preserve">3.2  </w:t>
      </w:r>
      <w:r>
        <w:rPr>
          <w:rFonts w:hint="eastAsia" w:ascii="宋体" w:hAnsi="宋体"/>
          <w:b/>
          <w:snapToGrid w:val="0"/>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autoSpaceDE w:val="0"/>
        <w:autoSpaceDN w:val="0"/>
        <w:adjustRightInd w:val="0"/>
        <w:snapToGrid w:val="0"/>
        <w:spacing w:line="380" w:lineRule="exact"/>
        <w:jc w:val="left"/>
        <w:rPr>
          <w:rFonts w:ascii="宋体" w:hAnsi="宋体"/>
          <w:b/>
          <w:snapToGrid w:val="0"/>
          <w:kern w:val="0"/>
        </w:rPr>
      </w:pPr>
      <w:bookmarkStart w:id="196" w:name="_Toc386029667"/>
      <w:bookmarkStart w:id="197" w:name="_Toc452058702"/>
      <w:bookmarkStart w:id="198" w:name="_Toc200513147"/>
      <w:bookmarkStart w:id="199" w:name="_Toc21238"/>
      <w:bookmarkStart w:id="200" w:name="_Toc224103338"/>
      <w:bookmarkStart w:id="201" w:name="_Toc287620706"/>
      <w:bookmarkStart w:id="202" w:name="_Toc277082573"/>
      <w:bookmarkStart w:id="203" w:name="_Toc287607767"/>
      <w:r>
        <w:rPr>
          <w:rFonts w:ascii="宋体" w:hAnsi="宋体"/>
          <w:b/>
          <w:snapToGrid w:val="0"/>
          <w:kern w:val="0"/>
        </w:rPr>
        <w:t xml:space="preserve">3.3  </w:t>
      </w:r>
      <w:r>
        <w:rPr>
          <w:rFonts w:hint="eastAsia" w:ascii="宋体" w:hAnsi="宋体"/>
          <w:b/>
          <w:snapToGrid w:val="0"/>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kern w:val="0"/>
          <w:szCs w:val="21"/>
        </w:rPr>
      </w:pPr>
      <w:bookmarkStart w:id="204" w:name="_Toc287620707"/>
      <w:bookmarkStart w:id="205" w:name="_Toc386029668"/>
      <w:bookmarkStart w:id="206" w:name="_Toc18976"/>
      <w:bookmarkStart w:id="207" w:name="_Toc277082574"/>
      <w:bookmarkStart w:id="208" w:name="_Toc224103339"/>
      <w:bookmarkStart w:id="209" w:name="_Toc287607768"/>
      <w:bookmarkStart w:id="210" w:name="_Toc200513148"/>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w:t>
      </w:r>
      <w:r>
        <w:rPr>
          <w:rFonts w:hint="eastAsia" w:ascii="宋体" w:hAnsi="宋体"/>
          <w:snapToGrid w:val="0"/>
          <w:kern w:val="0"/>
        </w:rPr>
        <w:t>人</w:t>
      </w:r>
      <w:r>
        <w:rPr>
          <w:rFonts w:hint="eastAsia" w:ascii="宋体" w:hAnsi="宋体"/>
        </w:rPr>
        <w:t>在</w:t>
      </w:r>
      <w:r>
        <w:rPr>
          <w:rFonts w:hint="eastAsia" w:ascii="宋体" w:hAnsi="宋体" w:cs="宋体"/>
          <w:kern w:val="0"/>
          <w:szCs w:val="21"/>
          <w:lang w:eastAsia="zh-CN"/>
        </w:rPr>
        <w:t>重庆安居古城网站（http://www.anjugc.cn/index.htm）</w:t>
      </w:r>
      <w:r>
        <w:rPr>
          <w:rFonts w:hint="eastAsia" w:ascii="宋体" w:hAnsi="宋体"/>
        </w:rPr>
        <w:t>上</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kern w:val="0"/>
        </w:rPr>
      </w:pPr>
      <w:bookmarkStart w:id="211" w:name="_Toc452058703"/>
      <w:r>
        <w:rPr>
          <w:rFonts w:ascii="宋体" w:hAnsi="宋体"/>
          <w:b/>
          <w:snapToGrid w:val="0"/>
          <w:kern w:val="0"/>
        </w:rPr>
        <w:t xml:space="preserve">3.4  </w:t>
      </w:r>
      <w:r>
        <w:rPr>
          <w:rFonts w:hint="eastAsia" w:ascii="宋体" w:hAnsi="宋体"/>
          <w:b/>
          <w:snapToGrid w:val="0"/>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黑体" w:hAnsi="宋体" w:eastAsia="黑体" w:cs="MingLiU"/>
          <w:b/>
          <w:snapToGrid w:val="0"/>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（2）中标人无正当理由不与</w:t>
      </w:r>
      <w:r>
        <w:rPr>
          <w:rFonts w:hint="eastAsia" w:ascii="宋体" w:hAnsi="宋体" w:cs="宋体"/>
          <w:color w:val="auto"/>
          <w:szCs w:val="21"/>
          <w:lang w:val="en-US" w:eastAsia="zh-CN"/>
        </w:rPr>
        <w:t>比选</w:t>
      </w:r>
      <w:r>
        <w:rPr>
          <w:rFonts w:hint="eastAsia" w:ascii="宋体" w:hAnsi="宋体" w:cs="MingLiU"/>
          <w:snapToGrid w:val="0"/>
          <w:kern w:val="0"/>
          <w:position w:val="-2"/>
          <w:szCs w:val="21"/>
        </w:rPr>
        <w:t>人签订合同，在签订合同时向</w:t>
      </w:r>
      <w:r>
        <w:rPr>
          <w:rFonts w:hint="eastAsia" w:ascii="宋体" w:hAnsi="宋体"/>
        </w:rPr>
        <w:t>比选</w:t>
      </w:r>
      <w:r>
        <w:rPr>
          <w:rFonts w:hint="eastAsia" w:ascii="宋体" w:hAnsi="宋体" w:cs="MingLiU"/>
          <w:snapToGrid w:val="0"/>
          <w:kern w:val="0"/>
          <w:position w:val="-2"/>
          <w:szCs w:val="21"/>
        </w:rPr>
        <w:t>人提出附加条件，或者不按</w:t>
      </w:r>
      <w:r>
        <w:rPr>
          <w:rFonts w:hint="eastAsia" w:ascii="宋体" w:hAnsi="宋体"/>
        </w:rPr>
        <w:t>比选</w:t>
      </w:r>
      <w:r>
        <w:rPr>
          <w:rFonts w:hint="eastAsia" w:ascii="宋体" w:hAnsi="宋体" w:cs="MingLiU"/>
          <w:snapToGrid w:val="0"/>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kern w:val="0"/>
          <w:position w:val="-2"/>
          <w:szCs w:val="21"/>
        </w:rPr>
      </w:pPr>
      <w:bookmarkStart w:id="212" w:name="_Toc287607770"/>
      <w:bookmarkStart w:id="213" w:name="_Toc31907"/>
      <w:bookmarkStart w:id="214" w:name="_Toc452058704"/>
      <w:bookmarkStart w:id="215" w:name="_Toc287620709"/>
      <w:bookmarkStart w:id="216" w:name="_Toc224103341"/>
      <w:bookmarkStart w:id="217" w:name="_Toc200513150"/>
      <w:bookmarkStart w:id="218" w:name="_Toc386029669"/>
      <w:bookmarkStart w:id="219" w:name="_Toc277082576"/>
      <w:r>
        <w:rPr>
          <w:rFonts w:ascii="宋体" w:hAnsi="宋体"/>
          <w:b/>
          <w:snapToGrid w:val="0"/>
          <w:kern w:val="0"/>
        </w:rPr>
        <w:t xml:space="preserve">3.5  </w:t>
      </w:r>
      <w:r>
        <w:rPr>
          <w:rFonts w:hint="eastAsia" w:ascii="宋体" w:hAnsi="宋体"/>
          <w:b/>
          <w:snapToGrid w:val="0"/>
          <w:kern w:val="0"/>
        </w:rPr>
        <w:t>资格审查资料</w:t>
      </w:r>
      <w:bookmarkEnd w:id="212"/>
      <w:bookmarkEnd w:id="213"/>
      <w:bookmarkEnd w:id="214"/>
      <w:bookmarkEnd w:id="215"/>
      <w:bookmarkEnd w:id="216"/>
      <w:bookmarkEnd w:id="217"/>
      <w:bookmarkEnd w:id="218"/>
      <w:bookmarkEnd w:id="219"/>
    </w:p>
    <w:p>
      <w:pPr>
        <w:autoSpaceDE w:val="0"/>
        <w:autoSpaceDN w:val="0"/>
        <w:adjustRightInd w:val="0"/>
        <w:snapToGrid w:val="0"/>
        <w:spacing w:line="380" w:lineRule="exact"/>
        <w:ind w:firstLine="420" w:firstLineChars="200"/>
        <w:jc w:val="left"/>
        <w:rPr>
          <w:rFonts w:ascii="宋体" w:hAnsi="宋体"/>
          <w:szCs w:val="21"/>
        </w:rPr>
      </w:pPr>
      <w:bookmarkStart w:id="220" w:name="_Toc386029670"/>
      <w:bookmarkStart w:id="221" w:name="_Toc287620710"/>
      <w:bookmarkStart w:id="222" w:name="_Toc200513151"/>
      <w:bookmarkStart w:id="223" w:name="_Toc224103342"/>
      <w:bookmarkStart w:id="224" w:name="_Toc452058705"/>
      <w:bookmarkStart w:id="225" w:name="_Toc277082577"/>
      <w:bookmarkStart w:id="226" w:name="_Toc29514"/>
      <w:bookmarkStart w:id="227" w:name="_Toc287607771"/>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kern w:val="0"/>
          <w:szCs w:val="21"/>
        </w:rPr>
      </w:pPr>
      <w:bookmarkStart w:id="228" w:name="_Toc287620711"/>
      <w:bookmarkStart w:id="229" w:name="_Toc277082578"/>
      <w:bookmarkStart w:id="230" w:name="_Toc386029671"/>
      <w:bookmarkStart w:id="231" w:name="_Toc8755"/>
      <w:bookmarkStart w:id="232" w:name="_Toc200513152"/>
      <w:bookmarkStart w:id="233" w:name="_Toc287607772"/>
      <w:bookmarkStart w:id="234" w:name="_Toc224103343"/>
      <w:r>
        <w:rPr>
          <w:rFonts w:hint="eastAsia" w:ascii="宋体" w:hAnsi="宋体" w:cs="MingLiU"/>
          <w:snapToGrid w:val="0"/>
          <w:kern w:val="0"/>
          <w:szCs w:val="21"/>
        </w:rPr>
        <w:t>投标人不得递交备选投标方案。</w:t>
      </w:r>
    </w:p>
    <w:p>
      <w:pPr>
        <w:autoSpaceDE w:val="0"/>
        <w:autoSpaceDN w:val="0"/>
        <w:adjustRightInd w:val="0"/>
        <w:snapToGrid w:val="0"/>
        <w:spacing w:line="380" w:lineRule="exact"/>
        <w:jc w:val="left"/>
        <w:rPr>
          <w:rFonts w:ascii="宋体" w:hAnsi="宋体"/>
          <w:b/>
          <w:snapToGrid w:val="0"/>
          <w:kern w:val="0"/>
        </w:rPr>
      </w:pPr>
      <w:bookmarkStart w:id="235"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kern w:val="0"/>
          <w:szCs w:val="21"/>
        </w:rPr>
      </w:pPr>
      <w:bookmarkStart w:id="236" w:name="_Toc287607773"/>
      <w:bookmarkStart w:id="237" w:name="_Toc386029672"/>
      <w:bookmarkStart w:id="238" w:name="_Toc277082579"/>
      <w:bookmarkStart w:id="239" w:name="_Toc6920"/>
      <w:bookmarkStart w:id="240" w:name="_Toc224103344"/>
      <w:bookmarkStart w:id="241" w:name="_Toc25740"/>
      <w:bookmarkStart w:id="242" w:name="_Toc200513153"/>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宋体"/>
          <w:color w:val="auto"/>
          <w:szCs w:val="21"/>
          <w:lang w:val="en-US" w:eastAsia="zh-CN"/>
        </w:rPr>
        <w:t>比选</w:t>
      </w:r>
      <w:r>
        <w:rPr>
          <w:rFonts w:hint="eastAsia" w:ascii="宋体" w:hAnsi="宋体" w:cs="MingLiU"/>
          <w:snapToGrid w:val="0"/>
          <w:kern w:val="0"/>
          <w:szCs w:val="21"/>
        </w:rPr>
        <w:t>范围等实质性内容作出响应。</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kern w:val="0"/>
        </w:rPr>
      </w:pPr>
      <w:bookmarkStart w:id="243" w:name="_Toc452058707"/>
      <w:r>
        <w:rPr>
          <w:rFonts w:ascii="宋体" w:hAnsi="宋体"/>
          <w:b/>
          <w:snapToGrid w:val="0"/>
          <w:kern w:val="0"/>
        </w:rPr>
        <w:t xml:space="preserve">4.  </w:t>
      </w:r>
      <w:r>
        <w:rPr>
          <w:rFonts w:hint="eastAsia" w:ascii="宋体" w:hAnsi="宋体"/>
          <w:b/>
          <w:snapToGrid w:val="0"/>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kern w:val="0"/>
        </w:rPr>
      </w:pPr>
      <w:bookmarkStart w:id="244" w:name="_Toc200513154"/>
      <w:bookmarkStart w:id="245" w:name="_Toc452058708"/>
      <w:bookmarkStart w:id="246" w:name="_Toc386029673"/>
      <w:bookmarkStart w:id="247" w:name="_Toc287620713"/>
      <w:bookmarkStart w:id="248" w:name="_Toc22832"/>
      <w:bookmarkStart w:id="249" w:name="_Toc277082580"/>
      <w:bookmarkStart w:id="250" w:name="_Toc287607774"/>
      <w:bookmarkStart w:id="251" w:name="_Toc224103345"/>
      <w:r>
        <w:rPr>
          <w:rFonts w:ascii="宋体" w:hAnsi="宋体"/>
          <w:b/>
          <w:snapToGrid w:val="0"/>
          <w:kern w:val="0"/>
        </w:rPr>
        <w:t xml:space="preserve">4.1  </w:t>
      </w:r>
      <w:r>
        <w:rPr>
          <w:rFonts w:hint="eastAsia" w:ascii="宋体" w:hAnsi="宋体"/>
          <w:b/>
          <w:snapToGrid w:val="0"/>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kern w:val="0"/>
          <w:szCs w:val="21"/>
        </w:rPr>
      </w:pPr>
      <w:bookmarkStart w:id="252"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kern w:val="0"/>
        </w:rPr>
      </w:pPr>
      <w:bookmarkStart w:id="253" w:name="_Toc3430"/>
      <w:bookmarkStart w:id="254" w:name="_Toc287620714"/>
      <w:bookmarkStart w:id="255" w:name="_Toc386029674"/>
      <w:bookmarkStart w:id="256" w:name="_Toc287607775"/>
      <w:bookmarkStart w:id="257" w:name="_Toc277082581"/>
      <w:bookmarkStart w:id="258" w:name="_Toc224103346"/>
      <w:bookmarkStart w:id="259" w:name="_Toc452058709"/>
      <w:r>
        <w:rPr>
          <w:rFonts w:ascii="宋体" w:hAnsi="宋体"/>
          <w:b/>
          <w:snapToGrid w:val="0"/>
          <w:kern w:val="0"/>
        </w:rPr>
        <w:t xml:space="preserve">4.2  </w:t>
      </w:r>
      <w:r>
        <w:rPr>
          <w:rFonts w:hint="eastAsia" w:ascii="宋体" w:hAnsi="宋体"/>
          <w:b/>
          <w:snapToGrid w:val="0"/>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4.2.4  </w:t>
      </w:r>
      <w:r>
        <w:rPr>
          <w:rFonts w:hint="eastAsia" w:ascii="宋体" w:hAnsi="宋体" w:cs="宋体"/>
          <w:color w:val="auto"/>
          <w:szCs w:val="21"/>
          <w:lang w:val="en-US" w:eastAsia="zh-CN"/>
        </w:rPr>
        <w:t>比选</w:t>
      </w:r>
      <w:r>
        <w:rPr>
          <w:rFonts w:hint="eastAsia" w:ascii="宋体" w:hAnsi="宋体" w:cs="MingLiU"/>
          <w:snapToGrid w:val="0"/>
          <w:kern w:val="0"/>
          <w:szCs w:val="21"/>
        </w:rPr>
        <w:t>人收到投标文件后，向投标人出具签收凭证。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4.2.5  </w:t>
      </w:r>
      <w:r>
        <w:rPr>
          <w:rFonts w:hint="eastAsia" w:ascii="宋体" w:hAnsi="宋体" w:cs="MingLiU"/>
          <w:snapToGrid w:val="0"/>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kern w:val="0"/>
        </w:rPr>
      </w:pPr>
      <w:bookmarkStart w:id="260" w:name="_Toc287607776"/>
      <w:bookmarkStart w:id="261" w:name="_Toc452058710"/>
      <w:bookmarkStart w:id="262" w:name="_Toc224103347"/>
      <w:bookmarkStart w:id="263" w:name="_Toc10962"/>
      <w:bookmarkStart w:id="264" w:name="_Toc277082582"/>
      <w:bookmarkStart w:id="265" w:name="_Toc386029675"/>
      <w:bookmarkStart w:id="266" w:name="_Toc200513156"/>
      <w:bookmarkStart w:id="267" w:name="_Toc287620715"/>
      <w:r>
        <w:rPr>
          <w:rFonts w:ascii="宋体" w:hAnsi="宋体"/>
          <w:b/>
          <w:snapToGrid w:val="0"/>
          <w:kern w:val="0"/>
        </w:rPr>
        <w:t xml:space="preserve">4.3  </w:t>
      </w:r>
      <w:r>
        <w:rPr>
          <w:rFonts w:hint="eastAsia" w:ascii="宋体" w:hAnsi="宋体"/>
          <w:b/>
          <w:snapToGrid w:val="0"/>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kern w:val="0"/>
        </w:rPr>
      </w:pPr>
      <w:bookmarkStart w:id="268" w:name="_Toc4890"/>
      <w:bookmarkStart w:id="269" w:name="_Toc31180"/>
      <w:bookmarkStart w:id="270" w:name="_Toc224103348"/>
      <w:bookmarkStart w:id="271" w:name="_Toc386029676"/>
      <w:bookmarkStart w:id="272" w:name="_Toc200513157"/>
      <w:bookmarkStart w:id="273" w:name="_Toc277082583"/>
      <w:bookmarkStart w:id="274" w:name="_Toc287607777"/>
      <w:bookmarkStart w:id="275" w:name="_Toc452058711"/>
      <w:r>
        <w:rPr>
          <w:rFonts w:ascii="宋体" w:hAnsi="宋体"/>
          <w:b/>
          <w:snapToGrid w:val="0"/>
          <w:kern w:val="0"/>
        </w:rPr>
        <w:t xml:space="preserve">5.  </w:t>
      </w:r>
      <w:r>
        <w:rPr>
          <w:rFonts w:hint="eastAsia" w:ascii="宋体" w:hAnsi="宋体"/>
          <w:b/>
          <w:snapToGrid w:val="0"/>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kern w:val="0"/>
        </w:rPr>
      </w:pPr>
      <w:bookmarkStart w:id="276" w:name="_Toc200513158"/>
      <w:bookmarkStart w:id="277" w:name="_Toc287607778"/>
      <w:bookmarkStart w:id="278" w:name="_Toc277082584"/>
      <w:bookmarkStart w:id="279" w:name="_Toc287620717"/>
      <w:bookmarkStart w:id="280" w:name="_Toc386029677"/>
      <w:bookmarkStart w:id="281" w:name="_Toc3212"/>
      <w:bookmarkStart w:id="282" w:name="_Toc452058712"/>
      <w:bookmarkStart w:id="283" w:name="_Toc224103349"/>
      <w:r>
        <w:rPr>
          <w:rFonts w:hint="eastAsia" w:ascii="宋体" w:hAnsi="宋体"/>
          <w:b/>
          <w:snapToGrid w:val="0"/>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kern w:val="0"/>
          <w:szCs w:val="21"/>
        </w:rPr>
      </w:pPr>
      <w:bookmarkStart w:id="284" w:name="_Toc277082585"/>
      <w:bookmarkStart w:id="285" w:name="_Toc224103350"/>
      <w:bookmarkStart w:id="286" w:name="_Toc287620718"/>
      <w:bookmarkStart w:id="287" w:name="_Toc287607779"/>
      <w:bookmarkStart w:id="288" w:name="_Toc200513159"/>
      <w:bookmarkStart w:id="289" w:name="_Toc386029678"/>
      <w:bookmarkStart w:id="290" w:name="_Toc28038"/>
      <w:r>
        <w:rPr>
          <w:rFonts w:hint="eastAsia" w:ascii="宋体" w:hAnsi="宋体" w:cs="宋体"/>
          <w:color w:val="auto"/>
          <w:szCs w:val="21"/>
          <w:lang w:val="en-US" w:eastAsia="zh-CN"/>
        </w:rPr>
        <w:t>比选</w:t>
      </w:r>
      <w:r>
        <w:rPr>
          <w:rFonts w:hint="eastAsia" w:ascii="宋体" w:hAnsi="宋体" w:cs="MingLiU"/>
          <w:snapToGrid w:val="0"/>
          <w:kern w:val="0"/>
          <w:szCs w:val="21"/>
        </w:rPr>
        <w:t>人在本章第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kern w:val="0"/>
        </w:rPr>
      </w:pPr>
      <w:bookmarkStart w:id="291" w:name="_Toc452058713"/>
      <w:r>
        <w:rPr>
          <w:rFonts w:ascii="宋体" w:hAnsi="宋体"/>
          <w:b/>
          <w:snapToGrid w:val="0"/>
          <w:kern w:val="0"/>
        </w:rPr>
        <w:t xml:space="preserve">5.2  </w:t>
      </w:r>
      <w:r>
        <w:rPr>
          <w:rFonts w:hint="eastAsia" w:ascii="宋体" w:hAnsi="宋体"/>
          <w:b/>
          <w:snapToGrid w:val="0"/>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289"/>
      <w:bookmarkEnd w:id="290"/>
      <w:r>
        <w:rPr>
          <w:rFonts w:hint="eastAsia" w:ascii="宋体" w:hAnsi="宋体"/>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292" w:name="_Toc277082586"/>
      <w:bookmarkStart w:id="293" w:name="_Toc452058714"/>
      <w:bookmarkStart w:id="294" w:name="_Toc287607780"/>
      <w:bookmarkStart w:id="295" w:name="_Toc3979"/>
      <w:bookmarkStart w:id="296" w:name="_Toc224103351"/>
      <w:bookmarkStart w:id="297" w:name="_Toc30237"/>
      <w:bookmarkStart w:id="298" w:name="_Toc386029679"/>
      <w:bookmarkStart w:id="299" w:name="_Toc200513160"/>
      <w:r>
        <w:rPr>
          <w:rFonts w:ascii="宋体" w:hAnsi="宋体"/>
          <w:b/>
          <w:snapToGrid w:val="0"/>
          <w:kern w:val="0"/>
        </w:rPr>
        <w:t xml:space="preserve">6.  </w:t>
      </w:r>
      <w:r>
        <w:rPr>
          <w:rFonts w:hint="eastAsia" w:ascii="宋体" w:hAnsi="宋体"/>
          <w:b/>
          <w:snapToGrid w:val="0"/>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kern w:val="0"/>
        </w:rPr>
      </w:pPr>
      <w:bookmarkStart w:id="300" w:name="_Toc224103352"/>
      <w:bookmarkStart w:id="301" w:name="_Toc287607781"/>
      <w:bookmarkStart w:id="302" w:name="_Toc287620720"/>
      <w:bookmarkStart w:id="303" w:name="_Toc24437"/>
      <w:bookmarkStart w:id="304" w:name="_Toc386029680"/>
      <w:bookmarkStart w:id="305" w:name="_Toc200513161"/>
      <w:bookmarkStart w:id="306" w:name="_Toc277082587"/>
      <w:bookmarkStart w:id="307" w:name="_Toc452058715"/>
      <w:r>
        <w:rPr>
          <w:rFonts w:ascii="宋体" w:hAnsi="宋体"/>
          <w:b/>
          <w:snapToGrid w:val="0"/>
          <w:kern w:val="0"/>
        </w:rPr>
        <w:t xml:space="preserve">6.1  </w:t>
      </w:r>
      <w:r>
        <w:rPr>
          <w:rFonts w:hint="eastAsia" w:ascii="宋体" w:hAnsi="宋体"/>
          <w:b/>
          <w:snapToGrid w:val="0"/>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kern w:val="0"/>
        </w:rPr>
      </w:pPr>
      <w:bookmarkStart w:id="308" w:name="_Toc287607782"/>
      <w:bookmarkStart w:id="309" w:name="_Toc200513162"/>
      <w:bookmarkStart w:id="310" w:name="_Toc386029681"/>
      <w:bookmarkStart w:id="311" w:name="_Toc287620721"/>
      <w:bookmarkStart w:id="312" w:name="_Toc277082588"/>
      <w:bookmarkStart w:id="313" w:name="_Toc18690"/>
      <w:bookmarkStart w:id="314" w:name="_Toc224103353"/>
      <w:bookmarkStart w:id="315" w:name="_Toc452058716"/>
      <w:r>
        <w:rPr>
          <w:rFonts w:ascii="宋体" w:hAnsi="宋体"/>
          <w:b/>
          <w:snapToGrid w:val="0"/>
          <w:kern w:val="0"/>
        </w:rPr>
        <w:t xml:space="preserve">6.2  </w:t>
      </w:r>
      <w:r>
        <w:rPr>
          <w:rFonts w:hint="eastAsia" w:ascii="宋体" w:hAnsi="宋体"/>
          <w:b/>
          <w:snapToGrid w:val="0"/>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kern w:val="0"/>
        </w:rPr>
      </w:pPr>
      <w:bookmarkStart w:id="316" w:name="_Toc452058717"/>
      <w:bookmarkStart w:id="317" w:name="_Toc20177"/>
      <w:bookmarkStart w:id="318" w:name="_Toc386029682"/>
      <w:bookmarkStart w:id="319" w:name="_Toc277082589"/>
      <w:bookmarkStart w:id="320" w:name="_Toc287620722"/>
      <w:bookmarkStart w:id="321" w:name="_Toc287607783"/>
      <w:bookmarkStart w:id="322" w:name="_Toc224103354"/>
      <w:bookmarkStart w:id="323" w:name="_Toc200513163"/>
      <w:r>
        <w:rPr>
          <w:rFonts w:ascii="宋体" w:hAnsi="宋体"/>
          <w:b/>
          <w:snapToGrid w:val="0"/>
          <w:kern w:val="0"/>
        </w:rPr>
        <w:t xml:space="preserve">6.3  </w:t>
      </w:r>
      <w:r>
        <w:rPr>
          <w:rFonts w:hint="eastAsia" w:ascii="宋体" w:hAnsi="宋体"/>
          <w:b/>
          <w:snapToGrid w:val="0"/>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kern w:val="0"/>
        </w:rPr>
      </w:pPr>
      <w:bookmarkStart w:id="324" w:name="_Toc277082590"/>
      <w:bookmarkStart w:id="325" w:name="_Toc26653"/>
      <w:bookmarkStart w:id="326" w:name="_Toc7278"/>
      <w:bookmarkStart w:id="327" w:name="_Toc200513164"/>
      <w:bookmarkStart w:id="328" w:name="_Toc386029683"/>
      <w:bookmarkStart w:id="329" w:name="_Toc224103355"/>
      <w:bookmarkStart w:id="330" w:name="_Toc452058718"/>
      <w:bookmarkStart w:id="331" w:name="_Toc287607784"/>
      <w:r>
        <w:rPr>
          <w:rFonts w:ascii="宋体" w:hAnsi="宋体"/>
          <w:b/>
          <w:snapToGrid w:val="0"/>
          <w:kern w:val="0"/>
        </w:rPr>
        <w:t xml:space="preserve">7.  </w:t>
      </w:r>
      <w:r>
        <w:rPr>
          <w:rFonts w:hint="eastAsia" w:ascii="宋体" w:hAnsi="宋体"/>
          <w:b/>
          <w:snapToGrid w:val="0"/>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kern w:val="0"/>
        </w:rPr>
      </w:pPr>
      <w:bookmarkStart w:id="332" w:name="_Toc452058719"/>
      <w:bookmarkStart w:id="333" w:name="_Toc25382"/>
      <w:bookmarkStart w:id="334" w:name="_Toc386029684"/>
      <w:bookmarkStart w:id="335" w:name="_Toc287607785"/>
      <w:bookmarkStart w:id="336" w:name="_Toc200513165"/>
      <w:bookmarkStart w:id="337" w:name="_Toc277082591"/>
      <w:bookmarkStart w:id="338" w:name="_Toc224103356"/>
      <w:bookmarkStart w:id="339" w:name="_Toc287620724"/>
      <w:r>
        <w:rPr>
          <w:rFonts w:ascii="宋体" w:hAnsi="宋体"/>
          <w:b/>
          <w:snapToGrid w:val="0"/>
          <w:kern w:val="0"/>
        </w:rPr>
        <w:t xml:space="preserve">7.1  </w:t>
      </w:r>
      <w:r>
        <w:rPr>
          <w:rFonts w:hint="eastAsia" w:ascii="宋体" w:hAnsi="宋体"/>
          <w:b/>
          <w:snapToGrid w:val="0"/>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szCs w:val="21"/>
        </w:rPr>
      </w:pPr>
      <w:bookmarkStart w:id="340" w:name="_Toc287607786"/>
      <w:bookmarkStart w:id="341" w:name="_Toc224103357"/>
      <w:bookmarkStart w:id="342" w:name="_Toc200513166"/>
      <w:bookmarkStart w:id="343" w:name="_Toc23110"/>
      <w:bookmarkStart w:id="344" w:name="_Toc386029685"/>
      <w:bookmarkStart w:id="345" w:name="_Toc277082592"/>
      <w:bookmarkStart w:id="346" w:name="_Toc287620725"/>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s="宋体"/>
          <w:color w:val="auto"/>
          <w:szCs w:val="21"/>
          <w:lang w:val="en-US" w:eastAsia="zh-CN"/>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w:t>
      </w:r>
      <w:r>
        <w:rPr>
          <w:rFonts w:hint="eastAsia" w:ascii="宋体" w:hAnsi="宋体"/>
          <w:szCs w:val="21"/>
        </w:rPr>
        <w:t>人可以按照评标委员会提出的中标候选人名单排序依次确定其他中标候选人为中标人，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kern w:val="0"/>
        </w:rPr>
      </w:pPr>
      <w:bookmarkStart w:id="347" w:name="_Toc452058720"/>
      <w:bookmarkStart w:id="348" w:name="_Toc200513167"/>
      <w:bookmarkStart w:id="349" w:name="_Toc287620726"/>
      <w:bookmarkStart w:id="350" w:name="_Toc386029686"/>
      <w:bookmarkStart w:id="351" w:name="_Toc224103358"/>
      <w:bookmarkStart w:id="352" w:name="_Toc277082593"/>
      <w:bookmarkStart w:id="353" w:name="_Toc287607787"/>
      <w:bookmarkStart w:id="354" w:name="_Toc17730"/>
      <w:r>
        <w:rPr>
          <w:rFonts w:ascii="宋体" w:hAnsi="宋体"/>
          <w:b/>
          <w:snapToGrid w:val="0"/>
          <w:kern w:val="0"/>
        </w:rPr>
        <w:t xml:space="preserve">7.2  </w:t>
      </w:r>
      <w:r>
        <w:rPr>
          <w:rFonts w:hint="eastAsia" w:ascii="宋体" w:hAnsi="宋体"/>
          <w:b/>
          <w:snapToGrid w:val="0"/>
          <w:kern w:val="0"/>
        </w:rPr>
        <w:t>中标公示及中标通知</w:t>
      </w:r>
      <w:bookmarkEnd w:id="347"/>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cs="MingLiU"/>
          <w:snapToGrid w:val="0"/>
          <w:kern w:val="0"/>
          <w:szCs w:val="21"/>
        </w:rPr>
        <w:t>比选</w:t>
      </w:r>
      <w:r>
        <w:rPr>
          <w:rFonts w:hint="eastAsia" w:ascii="宋体" w:hAnsi="宋体"/>
          <w:snapToGrid w:val="0"/>
          <w:kern w:val="0"/>
          <w:szCs w:val="21"/>
        </w:rPr>
        <w:t>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w:t>
      </w:r>
      <w:r>
        <w:rPr>
          <w:rFonts w:hint="eastAsia" w:ascii="宋体" w:hAnsi="宋体"/>
          <w:snapToGrid w:val="0"/>
          <w:kern w:val="0"/>
          <w:szCs w:val="21"/>
        </w:rPr>
        <w:t>人以书面形式向中标人发出中标通知书。</w:t>
      </w:r>
    </w:p>
    <w:p>
      <w:pPr>
        <w:autoSpaceDE w:val="0"/>
        <w:autoSpaceDN w:val="0"/>
        <w:adjustRightInd w:val="0"/>
        <w:snapToGrid w:val="0"/>
        <w:spacing w:line="380" w:lineRule="exact"/>
        <w:jc w:val="left"/>
        <w:rPr>
          <w:rFonts w:ascii="宋体" w:hAnsi="宋体"/>
          <w:b/>
          <w:snapToGrid w:val="0"/>
          <w:kern w:val="0"/>
        </w:rPr>
      </w:pPr>
      <w:bookmarkStart w:id="355" w:name="_Toc452058721"/>
      <w:r>
        <w:rPr>
          <w:rFonts w:ascii="宋体" w:hAnsi="宋体"/>
          <w:b/>
          <w:snapToGrid w:val="0"/>
          <w:kern w:val="0"/>
        </w:rPr>
        <w:t xml:space="preserve">7.3  </w:t>
      </w:r>
      <w:r>
        <w:rPr>
          <w:rFonts w:hint="eastAsia" w:ascii="宋体" w:hAnsi="宋体"/>
          <w:b/>
          <w:snapToGrid w:val="0"/>
          <w:kern w:val="0"/>
        </w:rPr>
        <w:t>履约</w:t>
      </w:r>
      <w:bookmarkEnd w:id="348"/>
      <w:bookmarkEnd w:id="349"/>
      <w:bookmarkEnd w:id="350"/>
      <w:bookmarkEnd w:id="351"/>
      <w:bookmarkEnd w:id="352"/>
      <w:bookmarkEnd w:id="353"/>
      <w:bookmarkEnd w:id="354"/>
      <w:r>
        <w:rPr>
          <w:rFonts w:hint="eastAsia" w:ascii="宋体" w:hAnsi="宋体"/>
          <w:b/>
          <w:snapToGrid w:val="0"/>
          <w:kern w:val="0"/>
        </w:rPr>
        <w:t>保证金</w:t>
      </w:r>
      <w:bookmarkEnd w:id="355"/>
    </w:p>
    <w:p>
      <w:pPr>
        <w:autoSpaceDE w:val="0"/>
        <w:autoSpaceDN w:val="0"/>
        <w:adjustRightInd w:val="0"/>
        <w:snapToGrid w:val="0"/>
        <w:spacing w:line="380" w:lineRule="exact"/>
        <w:ind w:firstLine="420"/>
      </w:pPr>
      <w:bookmarkStart w:id="356" w:name="_Toc277082594"/>
      <w:bookmarkStart w:id="357" w:name="_Toc224103359"/>
      <w:bookmarkStart w:id="358" w:name="_Toc287607788"/>
      <w:bookmarkStart w:id="359" w:name="_Toc200513168"/>
      <w:bookmarkStart w:id="360" w:name="_Toc386029687"/>
      <w:bookmarkStart w:id="361" w:name="_Toc287620727"/>
      <w:bookmarkStart w:id="362" w:name="_Toc15530"/>
      <w:r>
        <w:rPr>
          <w:rFonts w:hint="eastAsia"/>
        </w:rPr>
        <w:t>7.3.1中标人应在收到中标通知书后</w:t>
      </w:r>
      <w:r>
        <w:rPr>
          <w:rFonts w:hint="eastAsia"/>
          <w:lang w:val="en-US" w:eastAsia="zh-CN"/>
        </w:rPr>
        <w:t>7</w:t>
      </w:r>
      <w:r>
        <w:rPr>
          <w:rFonts w:hint="eastAsia"/>
        </w:rPr>
        <w:t>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kern w:val="0"/>
        </w:rPr>
      </w:pPr>
      <w:bookmarkStart w:id="363" w:name="_Toc452058722"/>
      <w:r>
        <w:rPr>
          <w:rFonts w:ascii="宋体" w:hAnsi="宋体"/>
          <w:b/>
          <w:snapToGrid w:val="0"/>
          <w:kern w:val="0"/>
        </w:rPr>
        <w:t xml:space="preserve">7.4  </w:t>
      </w:r>
      <w:r>
        <w:rPr>
          <w:rFonts w:hint="eastAsia" w:ascii="宋体" w:hAnsi="宋体"/>
          <w:b/>
          <w:snapToGrid w:val="0"/>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kern w:val="0"/>
          <w:szCs w:val="21"/>
        </w:rPr>
      </w:pPr>
      <w:bookmarkStart w:id="364" w:name="_Toc200513169"/>
      <w:bookmarkStart w:id="365" w:name="_Toc16683"/>
      <w:bookmarkStart w:id="366" w:name="_Toc28937"/>
      <w:bookmarkStart w:id="367" w:name="_Toc224103360"/>
      <w:bookmarkStart w:id="368" w:name="_Toc277082595"/>
      <w:bookmarkStart w:id="369" w:name="_Toc386029688"/>
      <w:bookmarkStart w:id="370" w:name="_Toc287607789"/>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黑体" w:hAnsi="黑体" w:eastAsia="黑体"/>
          <w:b/>
          <w:snapToGrid w:val="0"/>
          <w:kern w:val="0"/>
          <w:szCs w:val="21"/>
        </w:rPr>
        <w:t>10</w:t>
      </w:r>
      <w:r>
        <w:rPr>
          <w:rFonts w:hint="eastAsia" w:ascii="黑体" w:hAnsi="黑体" w:eastAsia="黑体" w:cs="MingLiU"/>
          <w:b/>
          <w:snapToGrid w:val="0"/>
          <w:kern w:val="0"/>
          <w:szCs w:val="21"/>
        </w:rPr>
        <w:t>天内</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kern w:val="0"/>
        </w:rPr>
      </w:pPr>
      <w:bookmarkStart w:id="371" w:name="_Toc452058723"/>
      <w:r>
        <w:rPr>
          <w:rFonts w:ascii="宋体" w:hAnsi="宋体"/>
          <w:b/>
          <w:snapToGrid w:val="0"/>
          <w:kern w:val="0"/>
        </w:rPr>
        <w:t xml:space="preserve">8.  </w:t>
      </w:r>
      <w:r>
        <w:rPr>
          <w:rFonts w:hint="eastAsia" w:ascii="宋体" w:hAnsi="宋体"/>
          <w:b/>
          <w:snapToGrid w:val="0"/>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kern w:val="0"/>
        </w:rPr>
        <w:t>比选</w:t>
      </w:r>
    </w:p>
    <w:p>
      <w:pPr>
        <w:autoSpaceDE w:val="0"/>
        <w:autoSpaceDN w:val="0"/>
        <w:adjustRightInd w:val="0"/>
        <w:snapToGrid w:val="0"/>
        <w:spacing w:line="380" w:lineRule="exact"/>
        <w:jc w:val="left"/>
        <w:rPr>
          <w:rFonts w:ascii="宋体" w:hAnsi="宋体"/>
          <w:b/>
          <w:snapToGrid w:val="0"/>
          <w:kern w:val="0"/>
        </w:rPr>
      </w:pPr>
      <w:bookmarkStart w:id="372" w:name="_Toc30995"/>
      <w:bookmarkStart w:id="373" w:name="_Toc200513170"/>
      <w:bookmarkStart w:id="374" w:name="_Toc277082596"/>
      <w:bookmarkStart w:id="375" w:name="_Toc452058724"/>
      <w:bookmarkStart w:id="376" w:name="_Toc287620729"/>
      <w:bookmarkStart w:id="377" w:name="_Toc287607790"/>
      <w:bookmarkStart w:id="378" w:name="_Toc224103361"/>
      <w:bookmarkStart w:id="379" w:name="_Toc386029689"/>
      <w:r>
        <w:rPr>
          <w:rFonts w:ascii="宋体" w:hAnsi="宋体"/>
          <w:b/>
          <w:snapToGrid w:val="0"/>
          <w:kern w:val="0"/>
        </w:rPr>
        <w:t xml:space="preserve">8.1 </w:t>
      </w:r>
      <w:r>
        <w:rPr>
          <w:rFonts w:hint="eastAsia" w:ascii="宋体" w:hAnsi="宋体"/>
          <w:b/>
          <w:snapToGrid w:val="0"/>
          <w:kern w:val="0"/>
        </w:rPr>
        <w:t>重新</w:t>
      </w:r>
      <w:bookmarkEnd w:id="372"/>
      <w:bookmarkEnd w:id="373"/>
      <w:bookmarkEnd w:id="374"/>
      <w:bookmarkEnd w:id="375"/>
      <w:bookmarkEnd w:id="376"/>
      <w:bookmarkEnd w:id="377"/>
      <w:bookmarkEnd w:id="378"/>
      <w:bookmarkEnd w:id="379"/>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autoSpaceDE w:val="0"/>
        <w:autoSpaceDN w:val="0"/>
        <w:adjustRightInd w:val="0"/>
        <w:snapToGrid w:val="0"/>
        <w:spacing w:line="380" w:lineRule="exact"/>
        <w:jc w:val="left"/>
        <w:rPr>
          <w:rFonts w:ascii="宋体" w:hAnsi="宋体"/>
          <w:b/>
          <w:snapToGrid w:val="0"/>
          <w:kern w:val="0"/>
        </w:rPr>
      </w:pPr>
      <w:bookmarkStart w:id="380" w:name="_Toc452058725"/>
      <w:bookmarkStart w:id="381" w:name="_Toc386029690"/>
      <w:bookmarkStart w:id="382" w:name="_Toc224103362"/>
      <w:bookmarkStart w:id="383" w:name="_Toc287607791"/>
      <w:bookmarkStart w:id="384" w:name="_Toc287620730"/>
      <w:bookmarkStart w:id="385" w:name="_Toc21171"/>
      <w:bookmarkStart w:id="386" w:name="_Toc277082597"/>
      <w:bookmarkStart w:id="387" w:name="_Toc200513171"/>
      <w:r>
        <w:rPr>
          <w:rFonts w:ascii="宋体" w:hAnsi="宋体"/>
          <w:b/>
          <w:snapToGrid w:val="0"/>
          <w:kern w:val="0"/>
        </w:rPr>
        <w:t xml:space="preserve">8.2 </w:t>
      </w:r>
      <w:r>
        <w:rPr>
          <w:rFonts w:hint="eastAsia" w:ascii="宋体" w:hAnsi="宋体"/>
          <w:b/>
          <w:snapToGrid w:val="0"/>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bookmarkStart w:id="388" w:name="_Toc224103363"/>
      <w:bookmarkStart w:id="389" w:name="_Toc386029691"/>
      <w:bookmarkStart w:id="390" w:name="_Toc287607792"/>
      <w:bookmarkStart w:id="391" w:name="_Toc3340"/>
      <w:bookmarkStart w:id="392" w:name="_Toc15649"/>
      <w:bookmarkStart w:id="393" w:name="_Toc200513172"/>
      <w:bookmarkStart w:id="394" w:name="_Toc277082598"/>
      <w:r>
        <w:rPr>
          <w:rFonts w:hint="eastAsia" w:ascii="宋体" w:hAnsi="宋体" w:cs="MingLiU"/>
          <w:snapToGrid w:val="0"/>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kern w:val="0"/>
        </w:rPr>
      </w:pPr>
      <w:bookmarkStart w:id="395" w:name="_Toc29442"/>
      <w:bookmarkStart w:id="396" w:name="_Toc287620732"/>
      <w:bookmarkStart w:id="397" w:name="_Toc200513173"/>
      <w:bookmarkStart w:id="398" w:name="_Toc224103364"/>
      <w:bookmarkStart w:id="399" w:name="_Toc386029692"/>
      <w:bookmarkStart w:id="400" w:name="_Toc277082599"/>
      <w:bookmarkStart w:id="401" w:name="_Toc287607793"/>
      <w:bookmarkStart w:id="402" w:name="_Toc452058726"/>
      <w:r>
        <w:rPr>
          <w:rFonts w:ascii="宋体" w:hAnsi="宋体"/>
          <w:b/>
          <w:snapToGrid w:val="0"/>
          <w:kern w:val="0"/>
        </w:rPr>
        <w:t xml:space="preserve">9.1 </w:t>
      </w:r>
      <w:r>
        <w:rPr>
          <w:rFonts w:hint="eastAsia" w:ascii="宋体" w:hAnsi="宋体"/>
          <w:b/>
          <w:snapToGrid w:val="0"/>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比选人不得泄露招标投标活动中应当保密的情况和资料，不得与投标人串通损害国家利益、社会公共利益或者他人合法权益，</w:t>
      </w:r>
      <w:r>
        <w:rPr>
          <w:rFonts w:hint="eastAsia"/>
        </w:rPr>
        <w:t>禁止</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有下列情形之一的，属于</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（1）</w:t>
      </w:r>
      <w:r>
        <w:rPr>
          <w:rFonts w:hint="eastAsia" w:ascii="宋体" w:hAnsi="宋体" w:cs="MingLiU"/>
          <w:snapToGrid w:val="0"/>
          <w:kern w:val="0"/>
          <w:szCs w:val="21"/>
        </w:rPr>
        <w:t>比选</w:t>
      </w:r>
      <w:r>
        <w:rPr>
          <w:rFonts w:hint="eastAsia"/>
        </w:rPr>
        <w:t>人在开标前开启投标文件并将有关信息泄露给其他投标人；</w:t>
      </w:r>
      <w:r>
        <w:rPr>
          <w:rFonts w:hint="eastAsia"/>
        </w:rPr>
        <w:br w:type="textWrapping"/>
      </w:r>
      <w:r>
        <w:rPr>
          <w:rFonts w:hint="eastAsia"/>
        </w:rPr>
        <w:t>    （2）</w:t>
      </w:r>
      <w:r>
        <w:rPr>
          <w:rFonts w:hint="eastAsia" w:ascii="宋体" w:hAnsi="宋体" w:cs="MingLiU"/>
          <w:snapToGrid w:val="0"/>
          <w:kern w:val="0"/>
          <w:szCs w:val="21"/>
        </w:rPr>
        <w:t>比选</w:t>
      </w:r>
      <w:r>
        <w:rPr>
          <w:rFonts w:hint="eastAsia"/>
        </w:rPr>
        <w:t>人直接或者间接向投标人泄露标底、评标委员会成员等信息；</w:t>
      </w:r>
      <w:r>
        <w:rPr>
          <w:rFonts w:hint="eastAsia"/>
        </w:rPr>
        <w:br w:type="textWrapping"/>
      </w:r>
      <w:r>
        <w:rPr>
          <w:rFonts w:hint="eastAsia"/>
        </w:rPr>
        <w:t>    （3）</w:t>
      </w:r>
      <w:r>
        <w:rPr>
          <w:rFonts w:hint="eastAsia" w:ascii="宋体" w:hAnsi="宋体" w:cs="MingLiU"/>
          <w:snapToGrid w:val="0"/>
          <w:kern w:val="0"/>
          <w:szCs w:val="21"/>
        </w:rPr>
        <w:t>比选</w:t>
      </w:r>
      <w:r>
        <w:rPr>
          <w:rFonts w:hint="eastAsia"/>
        </w:rPr>
        <w:t>人明示或者暗示投标人压低或者抬高投标报价；</w:t>
      </w:r>
      <w:r>
        <w:rPr>
          <w:rFonts w:hint="eastAsia"/>
        </w:rPr>
        <w:br w:type="textWrapping"/>
      </w:r>
      <w:r>
        <w:rPr>
          <w:rFonts w:hint="eastAsia"/>
        </w:rPr>
        <w:t>    （4）</w:t>
      </w:r>
      <w:r>
        <w:rPr>
          <w:rFonts w:hint="eastAsia" w:ascii="宋体" w:hAnsi="宋体" w:cs="MingLiU"/>
          <w:snapToGrid w:val="0"/>
          <w:kern w:val="0"/>
          <w:szCs w:val="21"/>
        </w:rPr>
        <w:t>比选</w:t>
      </w:r>
      <w:r>
        <w:rPr>
          <w:rFonts w:hint="eastAsia"/>
        </w:rPr>
        <w:t>人授意投标人撤换、修改投标文件；</w:t>
      </w:r>
      <w:r>
        <w:rPr>
          <w:rFonts w:hint="eastAsia"/>
        </w:rPr>
        <w:br w:type="textWrapping"/>
      </w:r>
      <w:r>
        <w:rPr>
          <w:rFonts w:hint="eastAsia"/>
        </w:rPr>
        <w:t>    （5）</w:t>
      </w:r>
      <w:r>
        <w:rPr>
          <w:rFonts w:hint="eastAsia" w:ascii="宋体" w:hAnsi="宋体" w:cs="MingLiU"/>
          <w:snapToGrid w:val="0"/>
          <w:kern w:val="0"/>
          <w:szCs w:val="21"/>
        </w:rPr>
        <w:t>比选</w:t>
      </w:r>
      <w:r>
        <w:rPr>
          <w:rFonts w:hint="eastAsia"/>
        </w:rPr>
        <w:t>人明示或者暗示投标人为特定投标人中标提供方便；</w:t>
      </w:r>
      <w:r>
        <w:rPr>
          <w:rFonts w:hint="eastAsia"/>
        </w:rPr>
        <w:br w:type="textWrapping"/>
      </w:r>
      <w:r>
        <w:rPr>
          <w:rFonts w:hint="eastAsia"/>
        </w:rPr>
        <w:t>    （6）</w:t>
      </w:r>
      <w:r>
        <w:rPr>
          <w:rFonts w:hint="eastAsia" w:ascii="宋体" w:hAnsi="宋体" w:cs="MingLiU"/>
          <w:snapToGrid w:val="0"/>
          <w:kern w:val="0"/>
          <w:szCs w:val="21"/>
        </w:rPr>
        <w:t>比选</w:t>
      </w:r>
      <w:r>
        <w:rPr>
          <w:rFonts w:hint="eastAsia"/>
        </w:rPr>
        <w:t>人与投标人为谋求特定投标人中标而采取的其他串通行为。</w:t>
      </w:r>
    </w:p>
    <w:p>
      <w:pPr>
        <w:autoSpaceDE w:val="0"/>
        <w:autoSpaceDN w:val="0"/>
        <w:adjustRightInd w:val="0"/>
        <w:snapToGrid w:val="0"/>
        <w:spacing w:line="380" w:lineRule="exact"/>
        <w:jc w:val="left"/>
        <w:rPr>
          <w:rFonts w:ascii="宋体" w:hAnsi="宋体"/>
          <w:b/>
          <w:snapToGrid w:val="0"/>
          <w:kern w:val="0"/>
        </w:rPr>
      </w:pPr>
      <w:bookmarkStart w:id="403" w:name="_Toc287620733"/>
      <w:bookmarkStart w:id="404" w:name="_Toc452058727"/>
      <w:bookmarkStart w:id="405" w:name="_Toc530"/>
      <w:bookmarkStart w:id="406" w:name="_Toc224103365"/>
      <w:bookmarkStart w:id="407" w:name="_Toc277082600"/>
      <w:bookmarkStart w:id="408" w:name="_Toc200513174"/>
      <w:bookmarkStart w:id="409" w:name="_Toc287607794"/>
      <w:bookmarkStart w:id="410" w:name="_Toc386029693"/>
      <w:r>
        <w:rPr>
          <w:rFonts w:ascii="宋体" w:hAnsi="宋体"/>
          <w:b/>
          <w:snapToGrid w:val="0"/>
          <w:kern w:val="0"/>
        </w:rPr>
        <w:t xml:space="preserve">9.2  </w:t>
      </w:r>
      <w:r>
        <w:rPr>
          <w:rFonts w:hint="eastAsia" w:ascii="宋体" w:hAnsi="宋体"/>
          <w:b/>
          <w:snapToGrid w:val="0"/>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pPr>
      <w:r>
        <w:rPr>
          <w:rFonts w:hint="eastAsia" w:ascii="宋体" w:hAnsi="宋体" w:cs="MingLiU"/>
          <w:snapToGrid w:val="0"/>
          <w:kern w:val="0"/>
          <w:szCs w:val="21"/>
        </w:rPr>
        <w:t>投标人不得相互串通投标或者与</w:t>
      </w:r>
      <w:r>
        <w:rPr>
          <w:rFonts w:hint="eastAsia" w:ascii="宋体" w:hAnsi="宋体" w:cs="宋体"/>
          <w:color w:val="auto"/>
          <w:szCs w:val="21"/>
          <w:lang w:val="en-US" w:eastAsia="zh-CN"/>
        </w:rPr>
        <w:t>比选</w:t>
      </w:r>
      <w:r>
        <w:rPr>
          <w:rFonts w:hint="eastAsia" w:ascii="宋体" w:hAnsi="宋体" w:cs="MingLiU"/>
          <w:snapToGrid w:val="0"/>
          <w:kern w:val="0"/>
          <w:szCs w:val="21"/>
        </w:rPr>
        <w:t>人串通投标，不得向</w:t>
      </w:r>
      <w:r>
        <w:rPr>
          <w:rFonts w:hint="eastAsia" w:ascii="宋体" w:hAnsi="宋体" w:cs="宋体"/>
          <w:color w:val="auto"/>
          <w:szCs w:val="21"/>
          <w:lang w:val="en-US" w:eastAsia="zh-CN"/>
        </w:rPr>
        <w:t>比选</w:t>
      </w:r>
      <w:r>
        <w:rPr>
          <w:rFonts w:hint="eastAsia" w:ascii="宋体" w:hAnsi="宋体" w:cs="MingLiU"/>
          <w:snapToGrid w:val="0"/>
          <w:kern w:val="0"/>
          <w:szCs w:val="21"/>
        </w:rPr>
        <w:t>人或者评标委员会成员行贿谋取中标，不得以他人名义投标或者以其他方式弄虚作假骗取中标；投标人不得以任何方式干扰、影响评标工作。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380" w:lineRule="exact"/>
        <w:ind w:firstLine="315" w:firstLineChars="150"/>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autoSpaceDE w:val="0"/>
        <w:autoSpaceDN w:val="0"/>
        <w:adjustRightInd w:val="0"/>
        <w:snapToGrid w:val="0"/>
        <w:spacing w:line="380" w:lineRule="exact"/>
        <w:jc w:val="left"/>
        <w:rPr>
          <w:rFonts w:ascii="宋体" w:hAnsi="宋体"/>
          <w:b/>
          <w:snapToGrid w:val="0"/>
          <w:kern w:val="0"/>
        </w:rPr>
      </w:pPr>
      <w:bookmarkStart w:id="411" w:name="_Toc224103366"/>
      <w:bookmarkStart w:id="412" w:name="_Toc21051"/>
      <w:bookmarkStart w:id="413" w:name="_Toc287607795"/>
      <w:bookmarkStart w:id="414" w:name="_Toc452058728"/>
      <w:bookmarkStart w:id="415" w:name="_Toc200513175"/>
      <w:bookmarkStart w:id="416" w:name="_Toc386029694"/>
      <w:bookmarkStart w:id="417" w:name="_Toc287620734"/>
      <w:bookmarkStart w:id="418" w:name="_Toc277082601"/>
      <w:r>
        <w:rPr>
          <w:rFonts w:ascii="宋体" w:hAnsi="宋体"/>
          <w:b/>
          <w:snapToGrid w:val="0"/>
          <w:kern w:val="0"/>
        </w:rPr>
        <w:t xml:space="preserve">9.3  </w:t>
      </w:r>
      <w:r>
        <w:rPr>
          <w:rFonts w:hint="eastAsia" w:ascii="宋体" w:hAnsi="宋体"/>
          <w:b/>
          <w:snapToGrid w:val="0"/>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kern w:val="0"/>
          <w:szCs w:val="21"/>
        </w:rPr>
      </w:pPr>
      <w:bookmarkStart w:id="419" w:name="_Toc287620735"/>
      <w:bookmarkStart w:id="420" w:name="_Toc26916"/>
      <w:bookmarkStart w:id="421" w:name="_Toc277082602"/>
      <w:bookmarkStart w:id="422" w:name="_Toc224103367"/>
      <w:bookmarkStart w:id="423" w:name="_Toc386029695"/>
      <w:bookmarkStart w:id="424" w:name="_Toc200513176"/>
      <w:bookmarkStart w:id="425" w:name="_Toc287607796"/>
      <w:r>
        <w:rPr>
          <w:rFonts w:hint="eastAsia" w:ascii="宋体" w:hAnsi="宋体" w:cs="MingLiU"/>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kern w:val="0"/>
        </w:rPr>
      </w:pPr>
      <w:bookmarkStart w:id="426"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kern w:val="0"/>
          <w:szCs w:val="21"/>
        </w:rPr>
      </w:pPr>
      <w:bookmarkStart w:id="427" w:name="_Toc224103368"/>
      <w:bookmarkStart w:id="428" w:name="_Toc277082603"/>
      <w:bookmarkStart w:id="429" w:name="_Toc200513177"/>
      <w:bookmarkStart w:id="430" w:name="_Toc386029696"/>
      <w:bookmarkStart w:id="431" w:name="_Toc287607797"/>
      <w:bookmarkStart w:id="432" w:name="_Toc20460"/>
      <w:bookmarkStart w:id="433" w:name="_Toc287620736"/>
      <w:r>
        <w:rPr>
          <w:rFonts w:hint="eastAsia" w:ascii="宋体" w:hAnsi="宋体" w:cs="MingLiU"/>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kern w:val="0"/>
        </w:rPr>
      </w:pPr>
      <w:bookmarkStart w:id="434" w:name="_Toc452058730"/>
      <w:r>
        <w:rPr>
          <w:rFonts w:ascii="宋体" w:hAnsi="宋体"/>
          <w:b/>
          <w:snapToGrid w:val="0"/>
          <w:kern w:val="0"/>
        </w:rPr>
        <w:t xml:space="preserve">9.5  </w:t>
      </w:r>
      <w:r>
        <w:rPr>
          <w:rFonts w:hint="eastAsia" w:ascii="宋体" w:hAnsi="宋体"/>
          <w:b/>
          <w:snapToGrid w:val="0"/>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kern w:val="0"/>
        </w:rPr>
      </w:pPr>
      <w:bookmarkStart w:id="435" w:name="_Toc25996"/>
      <w:bookmarkStart w:id="436" w:name="_Toc287607798"/>
      <w:bookmarkStart w:id="437" w:name="_Toc386029697"/>
      <w:bookmarkStart w:id="438" w:name="_Toc287620737"/>
      <w:bookmarkStart w:id="439" w:name="_Toc224103369"/>
      <w:bookmarkStart w:id="440" w:name="_Toc5118"/>
      <w:bookmarkStart w:id="441" w:name="_Toc200513178"/>
      <w:bookmarkStart w:id="442" w:name="_Toc277082604"/>
      <w:bookmarkStart w:id="443" w:name="_Toc452058731"/>
      <w:r>
        <w:rPr>
          <w:rFonts w:ascii="宋体" w:hAnsi="宋体"/>
          <w:b/>
          <w:snapToGrid w:val="0"/>
          <w:kern w:val="0"/>
        </w:rPr>
        <w:t xml:space="preserve">10. </w:t>
      </w:r>
      <w:r>
        <w:rPr>
          <w:rFonts w:hint="eastAsia" w:ascii="宋体" w:hAnsi="宋体"/>
          <w:b/>
          <w:snapToGrid w:val="0"/>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pPr>
      <w:r>
        <w:rPr>
          <w:rFonts w:hint="eastAsia" w:ascii="宋体" w:hAnsi="宋体" w:cs="MingLiU"/>
          <w:snapToGrid w:val="0"/>
          <w:kern w:val="0"/>
          <w:szCs w:val="21"/>
        </w:rPr>
        <w:t>需要补充的其他内容：见投标人须知前附表。</w:t>
      </w:r>
      <w:bookmarkStart w:id="444" w:name="招标文件03章02评标办法综合评估法00"/>
      <w:bookmarkEnd w:id="444"/>
      <w:bookmarkStart w:id="445" w:name="招标文件03章02评标办法综合评估法"/>
      <w:bookmarkEnd w:id="445"/>
      <w:bookmarkStart w:id="446" w:name="_Toc31654"/>
      <w:bookmarkStart w:id="447" w:name="_Toc287620738"/>
      <w:bookmarkStart w:id="448" w:name="_Toc287607799"/>
      <w:bookmarkStart w:id="449" w:name="_Toc277082605"/>
      <w:bookmarkStart w:id="450" w:name="_Toc452058732"/>
      <w:bookmarkStart w:id="451" w:name="_Toc513492489"/>
      <w:bookmarkStart w:id="452" w:name="_Toc287607810"/>
      <w:bookmarkStart w:id="453" w:name="_Toc287620749"/>
    </w:p>
    <w:bookmarkEnd w:id="446"/>
    <w:bookmarkEnd w:id="447"/>
    <w:bookmarkEnd w:id="448"/>
    <w:bookmarkEnd w:id="449"/>
    <w:bookmarkEnd w:id="450"/>
    <w:bookmarkEnd w:id="451"/>
    <w:p>
      <w:pPr>
        <w:pStyle w:val="5"/>
        <w:spacing w:before="0" w:after="0" w:line="400" w:lineRule="exact"/>
        <w:jc w:val="center"/>
        <w:rPr>
          <w:rFonts w:ascii="宋体" w:hAnsi="宋体"/>
          <w:snapToGrid w:val="0"/>
          <w:kern w:val="0"/>
        </w:rPr>
      </w:pPr>
      <w:bookmarkStart w:id="454" w:name="_Toc513492490"/>
      <w:bookmarkStart w:id="455" w:name="_Toc452058737"/>
      <w:r>
        <w:rPr>
          <w:rFonts w:ascii="宋体" w:hAnsi="宋体"/>
          <w:snapToGrid w:val="0"/>
          <w:kern w:val="0"/>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spacing w:line="400" w:lineRule="exact"/>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spacing w:line="400" w:lineRule="exact"/>
        <w:ind w:firstLine="427" w:firstLineChars="196"/>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2"/>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62"/>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spacing w:val="4"/>
                <w:kern w:val="0"/>
                <w:szCs w:val="21"/>
              </w:rPr>
              <w:t>人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lang w:val="en-US" w:eastAsia="zh-CN"/>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pPr>
            <w:r>
              <w:rPr>
                <w:rFonts w:hint="eastAsia"/>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rPr>
            </w:pPr>
            <w:r>
              <w:rPr>
                <w:rFonts w:hint="eastAsia" w:ascii="宋体" w:hAnsi="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s="宋体"/>
                <w:color w:val="auto"/>
                <w:szCs w:val="21"/>
                <w:lang w:val="en-US" w:eastAsia="zh-CN"/>
              </w:rPr>
              <w:t>比选</w:t>
            </w:r>
            <w:r>
              <w:rPr>
                <w:rFonts w:hint="eastAsia" w:ascii="宋体" w:hAnsi="宋体" w:cs="宋体"/>
                <w:kern w:val="0"/>
              </w:rPr>
              <w:t>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w:t>
            </w:r>
            <w:r>
              <w:rPr>
                <w:rFonts w:hint="eastAsia" w:ascii="宋体" w:hAnsi="宋体" w:cs="宋体"/>
                <w:kern w:val="0"/>
                <w:lang w:eastAsia="zh-CN"/>
              </w:rPr>
              <w:t>比选人</w:t>
            </w:r>
            <w:r>
              <w:rPr>
                <w:rFonts w:hint="eastAsia" w:ascii="宋体" w:hAnsi="宋体" w:cs="宋体"/>
                <w:kern w:val="0"/>
              </w:rPr>
              <w:t>公布的投标总报价最高限价。</w:t>
            </w:r>
          </w:p>
          <w:p>
            <w:pPr>
              <w:snapToGrid w:val="0"/>
              <w:spacing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color w:val="auto"/>
                <w:szCs w:val="21"/>
                <w:lang w:val="en-US" w:eastAsia="zh-CN"/>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color w:val="auto"/>
                <w:szCs w:val="21"/>
                <w:lang w:val="en-US" w:eastAsia="zh-CN"/>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s="宋体"/>
                <w:color w:val="auto"/>
                <w:szCs w:val="21"/>
                <w:lang w:val="en-US" w:eastAsia="zh-CN"/>
              </w:rPr>
              <w:t>比选</w:t>
            </w:r>
            <w:r>
              <w:rPr>
                <w:rFonts w:ascii="宋体" w:hAnsi="宋体"/>
                <w:kern w:val="0"/>
                <w:szCs w:val="21"/>
              </w:rPr>
              <w:t>人提交书面评标报告。</w:t>
            </w:r>
          </w:p>
        </w:tc>
      </w:tr>
    </w:tbl>
    <w:p>
      <w:pPr>
        <w:pStyle w:val="6"/>
        <w:spacing w:before="0" w:after="0" w:line="500" w:lineRule="exact"/>
        <w:jc w:val="left"/>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spacing w:line="500" w:lineRule="exact"/>
        <w:ind w:firstLine="420" w:firstLineChars="200"/>
        <w:jc w:val="left"/>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rPr>
        <w:t>人授权直接确定中标人。若出现投标人投标报价相同的，以评标办法前附表约定的原则确定排序。</w:t>
      </w:r>
    </w:p>
    <w:p>
      <w:pPr>
        <w:pStyle w:val="6"/>
        <w:spacing w:before="0" w:after="0" w:line="500" w:lineRule="exact"/>
        <w:jc w:val="left"/>
        <w:rPr>
          <w:rFonts w:ascii="宋体" w:hAnsi="宋体"/>
          <w:b w:val="0"/>
          <w:snapToGrid w:val="0"/>
        </w:rPr>
      </w:pPr>
      <w:bookmarkStart w:id="460" w:name="_Toc57820617"/>
      <w:r>
        <w:rPr>
          <w:rFonts w:ascii="宋体" w:hAnsi="宋体"/>
          <w:b w:val="0"/>
          <w:snapToGrid w:val="0"/>
        </w:rPr>
        <w:t>2.  评审标准</w:t>
      </w:r>
      <w:bookmarkEnd w:id="460"/>
    </w:p>
    <w:p>
      <w:pPr>
        <w:pStyle w:val="7"/>
        <w:spacing w:line="500" w:lineRule="exact"/>
        <w:jc w:val="left"/>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7"/>
        <w:spacing w:line="500" w:lineRule="exact"/>
        <w:jc w:val="left"/>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6"/>
        <w:spacing w:before="0" w:after="0" w:line="500" w:lineRule="exact"/>
        <w:jc w:val="left"/>
        <w:rPr>
          <w:rFonts w:ascii="宋体" w:hAnsi="宋体"/>
          <w:b w:val="0"/>
          <w:snapToGrid w:val="0"/>
        </w:rPr>
      </w:pPr>
      <w:bookmarkStart w:id="463" w:name="_Toc57820620"/>
      <w:r>
        <w:rPr>
          <w:rFonts w:ascii="宋体" w:hAnsi="宋体"/>
          <w:b w:val="0"/>
          <w:snapToGrid w:val="0"/>
        </w:rPr>
        <w:t>3.  评标程序</w:t>
      </w:r>
      <w:bookmarkEnd w:id="463"/>
    </w:p>
    <w:p>
      <w:pPr>
        <w:pStyle w:val="7"/>
        <w:spacing w:line="500" w:lineRule="exact"/>
        <w:jc w:val="left"/>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7"/>
        <w:spacing w:line="500" w:lineRule="exact"/>
        <w:ind w:firstLine="420" w:firstLineChars="200"/>
        <w:jc w:val="left"/>
        <w:rPr>
          <w:rFonts w:ascii="宋体" w:hAnsi="宋体" w:cs="宋体"/>
          <w:b w:val="0"/>
          <w:bCs w:val="0"/>
          <w:sz w:val="21"/>
          <w:szCs w:val="21"/>
        </w:rPr>
      </w:pPr>
      <w:bookmarkStart w:id="465" w:name="_Toc57820622"/>
      <w:r>
        <w:rPr>
          <w:rFonts w:hint="eastAsia" w:ascii="宋体" w:hAnsi="宋体" w:cs="宋体"/>
          <w:b w:val="0"/>
          <w:bCs w:val="0"/>
          <w:sz w:val="21"/>
          <w:szCs w:val="21"/>
        </w:rPr>
        <w:t>对报价不高于最高限价的所有投标人的投标文件，按照报价由低到高的顺序排列。</w:t>
      </w:r>
    </w:p>
    <w:p>
      <w:pPr>
        <w:pStyle w:val="7"/>
        <w:spacing w:line="500" w:lineRule="exact"/>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spacing w:line="500" w:lineRule="exact"/>
        <w:ind w:firstLine="413" w:firstLineChars="197"/>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jc w:val="left"/>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jc w:val="left"/>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jc w:val="left"/>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jc w:val="left"/>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7"/>
        <w:spacing w:line="500" w:lineRule="exact"/>
        <w:jc w:val="left"/>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7"/>
        <w:spacing w:line="500" w:lineRule="exact"/>
        <w:jc w:val="left"/>
        <w:rPr>
          <w:rFonts w:ascii="宋体" w:hAnsi="宋体" w:cs="宋体"/>
          <w:sz w:val="21"/>
          <w:szCs w:val="21"/>
        </w:rPr>
      </w:pPr>
      <w:bookmarkStart w:id="467" w:name="_Toc57820624"/>
      <w:bookmarkStart w:id="468" w:name="_Toc484465184"/>
      <w:bookmarkStart w:id="469" w:name="_Toc47926240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s="宋体"/>
          <w:color w:val="auto"/>
          <w:szCs w:val="21"/>
          <w:lang w:val="en-US" w:eastAsia="zh-CN"/>
        </w:rPr>
        <w:t>比选</w:t>
      </w:r>
      <w:r>
        <w:rPr>
          <w:rFonts w:hint="eastAsia" w:ascii="宋体" w:hAnsi="宋体" w:cs="宋体"/>
          <w:szCs w:val="21"/>
        </w:rPr>
        <w:t>人提交书面评标报告和中标候选人名单。</w:t>
      </w:r>
    </w:p>
    <w:p>
      <w:pPr>
        <w:pStyle w:val="39"/>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9"/>
        <w:spacing w:line="400" w:lineRule="exact"/>
        <w:ind w:firstLine="420" w:firstLineChars="200"/>
        <w:jc w:val="both"/>
        <w:rPr>
          <w:rFonts w:ascii="宋体" w:hAnsi="宋体"/>
          <w:szCs w:val="21"/>
          <w:u w:val="none"/>
          <w:lang w:eastAsia="zh-CN"/>
        </w:rPr>
      </w:pPr>
      <w:r>
        <w:rPr>
          <w:rFonts w:hint="eastAsia" w:ascii="宋体" w:hAnsi="宋体"/>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s="宋体"/>
                <w:color w:val="auto"/>
                <w:szCs w:val="21"/>
                <w:lang w:val="en-US" w:eastAsia="zh-CN"/>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s="宋体"/>
                <w:color w:val="auto"/>
                <w:szCs w:val="21"/>
                <w:lang w:val="en-US" w:eastAsia="zh-CN"/>
              </w:rPr>
              <w:t>比选</w:t>
            </w:r>
            <w:r>
              <w:rPr>
                <w:rFonts w:hint="eastAsia" w:ascii="宋体" w:hAnsi="宋体"/>
                <w:szCs w:val="21"/>
              </w:rPr>
              <w:t>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s="宋体"/>
                <w:color w:val="auto"/>
                <w:szCs w:val="21"/>
                <w:lang w:val="en-US" w:eastAsia="zh-CN"/>
              </w:rPr>
              <w:t>比选</w:t>
            </w:r>
            <w:r>
              <w:rPr>
                <w:rFonts w:hint="eastAsia" w:ascii="宋体" w:hAnsi="宋体"/>
                <w:szCs w:val="21"/>
              </w:rPr>
              <w:t>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A-26投标函中的安全文明施工费必须按照</w:t>
            </w:r>
            <w:r>
              <w:rPr>
                <w:rFonts w:hint="eastAsia" w:ascii="宋体" w:hAnsi="宋体" w:cs="宋体"/>
                <w:color w:val="auto"/>
                <w:szCs w:val="21"/>
                <w:lang w:val="en-US" w:eastAsia="zh-CN"/>
              </w:rPr>
              <w:t>比选</w:t>
            </w:r>
            <w:r>
              <w:rPr>
                <w:rFonts w:hint="eastAsia" w:ascii="宋体" w:hAnsi="宋体"/>
                <w:szCs w:val="21"/>
              </w:rPr>
              <w:t>人给出的暂定金额填报，否则视为对</w:t>
            </w:r>
            <w:r>
              <w:rPr>
                <w:rFonts w:hint="eastAsia" w:ascii="宋体" w:hAnsi="宋体" w:cs="宋体"/>
                <w:color w:val="auto"/>
                <w:szCs w:val="21"/>
                <w:lang w:val="en-US" w:eastAsia="zh-CN"/>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A-27只能有一个有效报价。在</w:t>
            </w:r>
            <w:r>
              <w:rPr>
                <w:rFonts w:hint="eastAsia" w:ascii="宋体" w:hAnsi="宋体" w:cs="宋体"/>
                <w:color w:val="auto"/>
                <w:szCs w:val="21"/>
                <w:lang w:val="en-US" w:eastAsia="zh-CN"/>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A-28投标人必须按</w:t>
            </w:r>
            <w:r>
              <w:rPr>
                <w:rFonts w:hint="eastAsia" w:ascii="宋体" w:hAnsi="宋体" w:cs="宋体"/>
                <w:color w:val="auto"/>
                <w:szCs w:val="21"/>
                <w:lang w:val="en-US" w:eastAsia="zh-CN"/>
              </w:rPr>
              <w:t>比选</w:t>
            </w:r>
            <w:r>
              <w:rPr>
                <w:rFonts w:hint="eastAsia" w:ascii="宋体" w:hAnsi="宋体"/>
                <w:szCs w:val="21"/>
              </w:rPr>
              <w:t>工程量清单填报价格。项目编码、项目名称、项目特征、计量单位、工程量必须与</w:t>
            </w:r>
            <w:r>
              <w:rPr>
                <w:rFonts w:hint="eastAsia" w:ascii="宋体" w:hAnsi="宋体" w:cs="宋体"/>
                <w:color w:val="auto"/>
                <w:szCs w:val="21"/>
                <w:lang w:val="en-US" w:eastAsia="zh-CN"/>
              </w:rPr>
              <w:t>比选</w:t>
            </w:r>
            <w:r>
              <w:rPr>
                <w:rFonts w:hint="eastAsia" w:ascii="宋体" w:hAnsi="宋体"/>
                <w:szCs w:val="21"/>
              </w:rPr>
              <w:t>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w:t>
            </w:r>
            <w:r>
              <w:rPr>
                <w:rFonts w:hint="eastAsia" w:ascii="宋体" w:hAnsi="宋体" w:cs="宋体"/>
                <w:color w:val="auto"/>
                <w:szCs w:val="21"/>
                <w:lang w:val="en-US" w:eastAsia="zh-CN"/>
              </w:rPr>
              <w:t>比选</w:t>
            </w:r>
            <w:r>
              <w:rPr>
                <w:rFonts w:hint="eastAsia" w:ascii="宋体" w:hAnsi="宋体"/>
                <w:szCs w:val="21"/>
              </w:rPr>
              <w:t>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5"/>
        <w:jc w:val="center"/>
        <w:rPr>
          <w:kern w:val="0"/>
          <w:sz w:val="36"/>
          <w:szCs w:val="36"/>
        </w:rPr>
      </w:pPr>
      <w:r>
        <w:rPr>
          <w:rFonts w:hint="eastAsia"/>
          <w:kern w:val="0"/>
          <w:sz w:val="36"/>
          <w:szCs w:val="36"/>
        </w:rPr>
        <w:br w:type="page"/>
      </w:r>
      <w:r>
        <w:rPr>
          <w:rFonts w:hint="eastAsia"/>
          <w:kern w:val="0"/>
          <w:sz w:val="36"/>
          <w:szCs w:val="36"/>
        </w:rPr>
        <w:t>第四章 合同条款及格式</w:t>
      </w:r>
      <w:bookmarkEnd w:id="454"/>
      <w:bookmarkEnd w:id="455"/>
      <w:bookmarkStart w:id="470" w:name="_Toc361990387"/>
      <w:bookmarkStart w:id="471" w:name="_Toc13214"/>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jc w:val="center"/>
        <w:rPr>
          <w:rFonts w:ascii="宋体" w:hAnsi="宋体"/>
          <w:b/>
          <w:sz w:val="28"/>
          <w:szCs w:val="28"/>
        </w:rPr>
      </w:pPr>
    </w:p>
    <w:p/>
    <w:p/>
    <w:p/>
    <w:p/>
    <w:p/>
    <w:p/>
    <w:p/>
    <w:p/>
    <w:p/>
    <w:p/>
    <w:p/>
    <w:p/>
    <w:p/>
    <w:p>
      <w:pPr>
        <w:rPr>
          <w:b/>
          <w:sz w:val="32"/>
          <w:szCs w:val="32"/>
          <w:u w:val="single"/>
        </w:rPr>
      </w:pPr>
      <w:r>
        <w:rPr>
          <w:rFonts w:hint="eastAsia"/>
          <w:b/>
          <w:sz w:val="32"/>
          <w:szCs w:val="32"/>
          <w:u w:val="single"/>
        </w:rPr>
        <w:br w:type="page"/>
      </w:r>
    </w:p>
    <w:p>
      <w:pPr>
        <w:pStyle w:val="3"/>
      </w:pPr>
    </w:p>
    <w:p>
      <w:pPr>
        <w:jc w:val="center"/>
        <w:rPr>
          <w:rFonts w:hint="eastAsia" w:ascii="宋体" w:hAnsi="宋体" w:eastAsia="宋体"/>
          <w:b/>
          <w:bCs/>
          <w:sz w:val="52"/>
          <w:szCs w:val="52"/>
          <w:lang w:eastAsia="zh-CN"/>
        </w:rPr>
      </w:pPr>
      <w:r>
        <w:rPr>
          <w:rFonts w:hint="eastAsia" w:ascii="宋体" w:hAnsi="宋体" w:cs="仿宋"/>
          <w:b/>
          <w:snapToGrid w:val="0"/>
          <w:kern w:val="0"/>
          <w:sz w:val="52"/>
          <w:szCs w:val="52"/>
          <w:lang w:eastAsia="zh-CN"/>
        </w:rPr>
        <w:t>旅游基础设施提档升级（老游客接待中心入口山墙美化)</w:t>
      </w:r>
    </w:p>
    <w:p>
      <w:pPr>
        <w:spacing w:line="800" w:lineRule="exact"/>
        <w:jc w:val="center"/>
        <w:rPr>
          <w:rFonts w:ascii="宋体" w:hAnsi="宋体"/>
          <w:b/>
          <w:bCs/>
          <w:sz w:val="52"/>
          <w:szCs w:val="52"/>
        </w:rPr>
      </w:pPr>
    </w:p>
    <w:p>
      <w:pPr>
        <w:spacing w:line="800" w:lineRule="exact"/>
        <w:jc w:val="center"/>
        <w:rPr>
          <w:rFonts w:ascii="宋体" w:hAnsi="宋体"/>
          <w:b/>
          <w:bCs/>
          <w:sz w:val="52"/>
          <w:szCs w:val="52"/>
        </w:rPr>
      </w:pPr>
    </w:p>
    <w:p>
      <w:pPr>
        <w:spacing w:line="1440" w:lineRule="exact"/>
        <w:jc w:val="center"/>
        <w:rPr>
          <w:rFonts w:ascii="宋体" w:hAnsi="宋体"/>
          <w:b/>
          <w:bCs/>
          <w:sz w:val="72"/>
          <w:szCs w:val="72"/>
        </w:rPr>
      </w:pPr>
      <w:r>
        <w:rPr>
          <w:rFonts w:hint="eastAsia" w:ascii="宋体" w:hAnsi="宋体"/>
          <w:b/>
          <w:bCs/>
          <w:sz w:val="72"/>
          <w:szCs w:val="72"/>
        </w:rPr>
        <w:t>施</w:t>
      </w:r>
    </w:p>
    <w:p>
      <w:pPr>
        <w:spacing w:line="1440" w:lineRule="exact"/>
        <w:jc w:val="center"/>
        <w:rPr>
          <w:rFonts w:ascii="宋体" w:hAnsi="宋体"/>
          <w:b/>
          <w:bCs/>
          <w:sz w:val="72"/>
          <w:szCs w:val="72"/>
        </w:rPr>
      </w:pPr>
      <w:r>
        <w:rPr>
          <w:rFonts w:hint="eastAsia" w:ascii="宋体" w:hAnsi="宋体"/>
          <w:b/>
          <w:bCs/>
          <w:sz w:val="72"/>
          <w:szCs w:val="72"/>
        </w:rPr>
        <w:t>工</w:t>
      </w:r>
    </w:p>
    <w:p>
      <w:pPr>
        <w:spacing w:line="1440" w:lineRule="exact"/>
        <w:jc w:val="center"/>
        <w:rPr>
          <w:rFonts w:ascii="宋体" w:hAnsi="宋体"/>
          <w:b/>
          <w:bCs/>
          <w:sz w:val="72"/>
          <w:szCs w:val="72"/>
        </w:rPr>
      </w:pPr>
      <w:r>
        <w:rPr>
          <w:rFonts w:hint="eastAsia" w:ascii="宋体" w:hAnsi="宋体"/>
          <w:b/>
          <w:bCs/>
          <w:sz w:val="72"/>
          <w:szCs w:val="72"/>
        </w:rPr>
        <w:t>合</w:t>
      </w:r>
    </w:p>
    <w:p>
      <w:pPr>
        <w:spacing w:line="1440" w:lineRule="exact"/>
        <w:jc w:val="center"/>
        <w:rPr>
          <w:rFonts w:ascii="宋体" w:hAnsi="宋体"/>
          <w:b/>
          <w:bCs/>
          <w:sz w:val="72"/>
          <w:szCs w:val="72"/>
        </w:rPr>
      </w:pPr>
      <w:r>
        <w:rPr>
          <w:rFonts w:hint="eastAsia" w:ascii="宋体" w:hAnsi="宋体"/>
          <w:b/>
          <w:bCs/>
          <w:sz w:val="72"/>
          <w:szCs w:val="72"/>
        </w:rPr>
        <w:t>同</w:t>
      </w:r>
    </w:p>
    <w:p>
      <w:pPr>
        <w:spacing w:after="120" w:afterLines="50" w:line="800" w:lineRule="exact"/>
        <w:jc w:val="center"/>
        <w:rPr>
          <w:rFonts w:ascii="宋体" w:hAnsi="宋体"/>
          <w:b/>
          <w:bCs/>
          <w:sz w:val="52"/>
          <w:szCs w:val="52"/>
        </w:rPr>
      </w:pPr>
    </w:p>
    <w:p>
      <w:pPr>
        <w:spacing w:after="120" w:afterLines="50" w:line="700" w:lineRule="exact"/>
        <w:rPr>
          <w:rFonts w:ascii="宋体" w:hAnsi="宋体"/>
          <w:b/>
          <w:bCs/>
          <w:sz w:val="52"/>
          <w:szCs w:val="52"/>
        </w:rPr>
      </w:pPr>
    </w:p>
    <w:p>
      <w:pPr>
        <w:spacing w:after="120" w:afterLines="50" w:line="700" w:lineRule="exact"/>
        <w:jc w:val="center"/>
        <w:rPr>
          <w:rFonts w:ascii="宋体" w:hAnsi="宋体"/>
          <w:b/>
          <w:bCs/>
          <w:sz w:val="52"/>
          <w:szCs w:val="52"/>
        </w:rPr>
      </w:pPr>
    </w:p>
    <w:p>
      <w:pPr>
        <w:spacing w:line="500" w:lineRule="exact"/>
        <w:ind w:firstLine="562" w:firstLineChars="200"/>
        <w:rPr>
          <w:rFonts w:hint="eastAsia" w:ascii="宋体" w:hAnsi="宋体" w:eastAsia="宋体" w:cs="宋体"/>
          <w:b/>
          <w:bCs/>
          <w:sz w:val="28"/>
          <w:szCs w:val="28"/>
          <w:lang w:eastAsia="zh-CN"/>
        </w:rPr>
      </w:pPr>
      <w:r>
        <w:rPr>
          <w:rFonts w:hint="eastAsia" w:ascii="宋体" w:hAnsi="宋体"/>
          <w:b/>
          <w:bCs/>
          <w:sz w:val="28"/>
          <w:szCs w:val="28"/>
        </w:rPr>
        <w:t>工程名称：</w:t>
      </w:r>
      <w:r>
        <w:rPr>
          <w:rFonts w:hint="eastAsia" w:ascii="宋体" w:hAnsi="宋体"/>
          <w:b/>
          <w:sz w:val="28"/>
          <w:szCs w:val="28"/>
          <w:u w:val="single"/>
          <w:lang w:eastAsia="zh-CN"/>
        </w:rPr>
        <w:t>旅游基础设施提档升级（老游客接待中心入口山墙美化)</w:t>
      </w:r>
    </w:p>
    <w:p>
      <w:pPr>
        <w:spacing w:line="500" w:lineRule="exact"/>
        <w:ind w:firstLine="562" w:firstLineChars="200"/>
        <w:rPr>
          <w:rFonts w:ascii="宋体" w:hAnsi="宋体"/>
          <w:b/>
          <w:sz w:val="28"/>
          <w:szCs w:val="28"/>
        </w:rPr>
      </w:pPr>
      <w:r>
        <w:rPr>
          <w:rFonts w:hint="eastAsia" w:ascii="宋体" w:hAnsi="宋体"/>
          <w:b/>
          <w:bCs/>
          <w:sz w:val="28"/>
          <w:szCs w:val="28"/>
        </w:rPr>
        <w:t>发 包 人：</w:t>
      </w:r>
      <w:r>
        <w:rPr>
          <w:rFonts w:hint="eastAsia" w:ascii="宋体" w:hAnsi="宋体"/>
          <w:b/>
          <w:sz w:val="28"/>
          <w:szCs w:val="28"/>
          <w:u w:val="single"/>
          <w:lang w:eastAsia="zh-CN"/>
        </w:rPr>
        <w:t>重庆安居古城华夏文化旅游发展有限公司</w:t>
      </w:r>
      <w:r>
        <w:rPr>
          <w:rFonts w:hint="eastAsia" w:ascii="宋体" w:hAnsi="宋体"/>
          <w:b/>
          <w:sz w:val="28"/>
          <w:szCs w:val="28"/>
          <w:u w:val="single"/>
        </w:rPr>
        <w:t xml:space="preserve"> </w:t>
      </w:r>
      <w:r>
        <w:rPr>
          <w:rFonts w:hint="eastAsia" w:ascii="宋体" w:hAnsi="宋体"/>
          <w:b/>
          <w:sz w:val="28"/>
          <w:szCs w:val="28"/>
        </w:rPr>
        <w:t>.</w:t>
      </w:r>
    </w:p>
    <w:p>
      <w:pPr>
        <w:spacing w:line="500" w:lineRule="exact"/>
        <w:ind w:firstLine="562" w:firstLineChars="200"/>
        <w:rPr>
          <w:rFonts w:ascii="宋体" w:hAnsi="宋体"/>
          <w:b/>
          <w:bCs/>
          <w:sz w:val="28"/>
          <w:szCs w:val="28"/>
        </w:rPr>
      </w:pPr>
      <w:r>
        <w:rPr>
          <w:rFonts w:hint="eastAsia" w:ascii="宋体" w:hAnsi="宋体"/>
          <w:b/>
          <w:bCs/>
          <w:sz w:val="28"/>
          <w:szCs w:val="28"/>
        </w:rPr>
        <w:t>承 包 人：</w:t>
      </w:r>
      <w:r>
        <w:rPr>
          <w:rFonts w:hint="eastAsia" w:ascii="宋体" w:hAnsi="宋体"/>
          <w:b/>
          <w:bCs/>
          <w:sz w:val="28"/>
          <w:szCs w:val="28"/>
          <w:u w:val="single"/>
        </w:rPr>
        <w:t xml:space="preserve">                               </w:t>
      </w:r>
      <w:r>
        <w:rPr>
          <w:rFonts w:hint="eastAsia" w:ascii="宋体" w:hAnsi="宋体"/>
          <w:b/>
          <w:bCs/>
          <w:sz w:val="28"/>
          <w:szCs w:val="28"/>
        </w:rPr>
        <w:t>.</w:t>
      </w:r>
    </w:p>
    <w:p>
      <w:pPr>
        <w:spacing w:line="500" w:lineRule="exact"/>
        <w:ind w:firstLine="562" w:firstLineChars="200"/>
        <w:rPr>
          <w:rFonts w:ascii="宋体" w:hAnsi="宋体"/>
          <w:bCs/>
          <w:sz w:val="32"/>
          <w:szCs w:val="32"/>
          <w:u w:val="single"/>
        </w:rPr>
      </w:pPr>
      <w:r>
        <w:rPr>
          <w:rFonts w:hint="eastAsia" w:ascii="宋体" w:hAnsi="宋体"/>
          <w:b/>
          <w:bCs/>
          <w:sz w:val="28"/>
          <w:szCs w:val="28"/>
        </w:rPr>
        <w:t>签订日期：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jc w:val="center"/>
        <w:rPr>
          <w:rFonts w:ascii="宋体" w:hAnsi="宋体"/>
          <w:b/>
          <w:sz w:val="32"/>
          <w:u w:val="single"/>
        </w:rPr>
      </w:pPr>
    </w:p>
    <w:p>
      <w:pPr>
        <w:rPr>
          <w:rFonts w:ascii="宋体" w:hAnsi="宋体"/>
          <w:b/>
          <w:sz w:val="32"/>
          <w:u w:val="single"/>
        </w:rPr>
      </w:pPr>
    </w:p>
    <w:p>
      <w:pPr>
        <w:rPr>
          <w:rFonts w:ascii="宋体" w:hAnsi="宋体"/>
          <w:b/>
          <w:sz w:val="32"/>
          <w:u w:val="single"/>
        </w:rPr>
      </w:pPr>
    </w:p>
    <w:p>
      <w:pPr>
        <w:spacing w:line="400" w:lineRule="exact"/>
        <w:jc w:val="center"/>
        <w:rPr>
          <w:b/>
          <w:sz w:val="32"/>
          <w:szCs w:val="32"/>
        </w:rPr>
      </w:pPr>
      <w:r>
        <w:rPr>
          <w:rFonts w:hint="eastAsia"/>
          <w:b/>
          <w:sz w:val="32"/>
          <w:szCs w:val="32"/>
        </w:rPr>
        <w:t>第一节  合同协议书</w:t>
      </w:r>
    </w:p>
    <w:p>
      <w:pPr>
        <w:spacing w:line="400" w:lineRule="exact"/>
        <w:rPr>
          <w:rFonts w:hint="eastAsia" w:eastAsia="宋体"/>
          <w:lang w:eastAsia="zh-CN"/>
        </w:rPr>
      </w:pPr>
      <w:r>
        <w:t>发包人</w:t>
      </w:r>
      <w:r>
        <w:rPr>
          <w:rFonts w:hint="eastAsia"/>
        </w:rPr>
        <w:t>（</w:t>
      </w:r>
      <w:r>
        <w:t>全称</w:t>
      </w:r>
      <w:r>
        <w:rPr>
          <w:rFonts w:hint="eastAsia"/>
        </w:rPr>
        <w:t>）</w:t>
      </w:r>
      <w:r>
        <w:t>：</w:t>
      </w:r>
      <w:r>
        <w:rPr>
          <w:rFonts w:hint="eastAsia" w:ascii="宋体" w:hAnsi="宋体" w:cs="MingLiU"/>
          <w:snapToGrid w:val="0"/>
          <w:kern w:val="0"/>
          <w:szCs w:val="21"/>
          <w:u w:val="single"/>
          <w:lang w:eastAsia="zh-CN"/>
        </w:rPr>
        <w:t>重庆安居古城华夏文化旅游发展有限公司</w:t>
      </w:r>
    </w:p>
    <w:p>
      <w:pPr>
        <w:spacing w:line="400" w:lineRule="exact"/>
      </w:pPr>
      <w:r>
        <w:t>法定代表人：</w:t>
      </w:r>
    </w:p>
    <w:p>
      <w:pPr>
        <w:spacing w:line="400" w:lineRule="exact"/>
        <w:rPr>
          <w:rFonts w:ascii="宋体" w:hAnsi="宋体" w:cs="宋体"/>
          <w:kern w:val="0"/>
          <w:szCs w:val="21"/>
        </w:rPr>
      </w:pPr>
      <w:r>
        <w:t>法定注册地址：</w:t>
      </w:r>
    </w:p>
    <w:p>
      <w:pPr>
        <w:spacing w:line="400" w:lineRule="exact"/>
      </w:pPr>
      <w:r>
        <w:t>承包人</w:t>
      </w:r>
      <w:r>
        <w:rPr>
          <w:rFonts w:hint="eastAsia"/>
        </w:rPr>
        <w:t>（</w:t>
      </w:r>
      <w:r>
        <w:t>全称</w:t>
      </w:r>
      <w:r>
        <w:rPr>
          <w:rFonts w:hint="eastAsia"/>
        </w:rPr>
        <w:t xml:space="preserve">）： </w:t>
      </w:r>
    </w:p>
    <w:p>
      <w:pPr>
        <w:spacing w:line="400" w:lineRule="exact"/>
      </w:pPr>
      <w:r>
        <w:t>法定代表人：</w:t>
      </w:r>
    </w:p>
    <w:p>
      <w:pPr>
        <w:spacing w:line="400" w:lineRule="exact"/>
      </w:pPr>
      <w:r>
        <w:t>法定注册地址：</w:t>
      </w:r>
      <w:r>
        <w:rPr>
          <w:rFonts w:hint="eastAsia"/>
        </w:rPr>
        <w:t xml:space="preserve"> </w:t>
      </w:r>
    </w:p>
    <w:p>
      <w:pPr>
        <w:spacing w:line="400" w:lineRule="exact"/>
        <w:ind w:firstLine="420" w:firstLineChars="200"/>
      </w:pPr>
      <w:r>
        <w:t>发包人为</w:t>
      </w:r>
      <w:r>
        <w:rPr>
          <w:rFonts w:hint="eastAsia"/>
        </w:rPr>
        <w:t>建设</w:t>
      </w:r>
      <w:r>
        <w:rPr>
          <w:rFonts w:hint="eastAsia" w:ascii="宋体" w:hAnsi="宋体" w:cs="MingLiU"/>
          <w:snapToGrid w:val="0"/>
          <w:kern w:val="0"/>
          <w:szCs w:val="21"/>
          <w:u w:val="single"/>
          <w:lang w:eastAsia="zh-CN"/>
        </w:rPr>
        <w:t>旅游基础设施提档升级（老游客接待中心入口山墙美化)</w:t>
      </w:r>
      <w:r>
        <w:t xml:space="preserve"> </w:t>
      </w:r>
      <w:r>
        <w:rPr>
          <w:rFonts w:hint="eastAsia"/>
        </w:rPr>
        <w:t>（</w:t>
      </w:r>
      <w:r>
        <w:t>以下简称“本工程”</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pPr>
      <w:r>
        <w:t> 一、工程概况</w:t>
      </w:r>
    </w:p>
    <w:p>
      <w:pPr>
        <w:spacing w:line="440" w:lineRule="exact"/>
        <w:ind w:firstLine="420" w:firstLineChars="200"/>
        <w:rPr>
          <w:rFonts w:ascii="宋体" w:hAnsi="宋体" w:cs="宋体"/>
          <w:kern w:val="0"/>
          <w:szCs w:val="21"/>
        </w:rPr>
      </w:pPr>
      <w:r>
        <w:rPr>
          <w:rFonts w:hint="eastAsia" w:ascii="宋体" w:hAnsi="宋体" w:cs="宋体"/>
          <w:kern w:val="0"/>
          <w:szCs w:val="21"/>
        </w:rPr>
        <w:t>1.1 项目概况：</w:t>
      </w:r>
      <w:r>
        <w:rPr>
          <w:rFonts w:hint="eastAsia"/>
          <w:highlight w:val="none"/>
          <w:lang w:eastAsia="zh-CN"/>
        </w:rPr>
        <w:t>本项目位于铜梁区安居镇，本次为山墙面美化设计，为新建景观檐廊。总建筑面积361.05m²，总占地面积361.05m²。其中1#檐廊163.05m²，2#檐廊198.00m²。</w:t>
      </w:r>
    </w:p>
    <w:p>
      <w:pPr>
        <w:spacing w:line="440" w:lineRule="exact"/>
        <w:ind w:firstLine="420" w:firstLineChars="200"/>
        <w:rPr>
          <w:rFonts w:ascii="宋体" w:hAnsi="宋体" w:cs="宋体"/>
          <w:kern w:val="0"/>
          <w:szCs w:val="21"/>
        </w:rPr>
      </w:pPr>
      <w:r>
        <w:rPr>
          <w:rFonts w:hint="eastAsia" w:ascii="宋体" w:hAnsi="宋体" w:cs="宋体"/>
          <w:kern w:val="0"/>
          <w:szCs w:val="21"/>
        </w:rPr>
        <w:t>1.2 建设地址：</w:t>
      </w:r>
      <w:r>
        <w:rPr>
          <w:rFonts w:hint="eastAsia" w:ascii="宋体" w:hAnsi="宋体" w:cs="宋体"/>
          <w:kern w:val="0"/>
          <w:szCs w:val="21"/>
          <w:lang w:eastAsia="zh-CN"/>
        </w:rPr>
        <w:t>铜梁区安居镇</w:t>
      </w:r>
      <w:r>
        <w:rPr>
          <w:rFonts w:hint="eastAsia" w:ascii="宋体" w:hAnsi="宋体" w:cs="宋体"/>
          <w:kern w:val="0"/>
          <w:szCs w:val="21"/>
        </w:rPr>
        <w:t>。</w:t>
      </w:r>
    </w:p>
    <w:p>
      <w:pPr>
        <w:spacing w:line="440" w:lineRule="exact"/>
        <w:rPr>
          <w:rFonts w:ascii="宋体" w:hAnsi="宋体" w:cs="宋体"/>
          <w:kern w:val="0"/>
          <w:szCs w:val="21"/>
        </w:rPr>
      </w:pPr>
      <w:r>
        <w:rPr>
          <w:rFonts w:hint="eastAsia" w:ascii="宋体" w:hAnsi="宋体" w:cs="宋体"/>
          <w:kern w:val="0"/>
          <w:szCs w:val="21"/>
        </w:rPr>
        <w:t>二、工程承包范围</w:t>
      </w:r>
    </w:p>
    <w:p>
      <w:pPr>
        <w:spacing w:line="400" w:lineRule="exact"/>
        <w:ind w:right="-416" w:rightChars="-198" w:firstLine="420" w:firstLineChars="200"/>
        <w:rPr>
          <w:rFonts w:ascii="宋体" w:hAnsi="宋体" w:cs="宋体"/>
          <w:kern w:val="0"/>
          <w:szCs w:val="21"/>
        </w:rPr>
      </w:pPr>
      <w:r>
        <w:t> 承包范围：</w:t>
      </w:r>
      <w:r>
        <w:rPr>
          <w:rFonts w:hint="eastAsia" w:ascii="宋体" w:hAnsi="宋体" w:cs="宋体"/>
          <w:kern w:val="0"/>
          <w:szCs w:val="21"/>
        </w:rPr>
        <w:t>具体内容以工程发包内容为准。</w:t>
      </w:r>
    </w:p>
    <w:p>
      <w:pPr>
        <w:spacing w:line="400" w:lineRule="exact"/>
      </w:pPr>
      <w:r>
        <w:t> 三、合同工期</w:t>
      </w:r>
    </w:p>
    <w:p>
      <w:pPr>
        <w:spacing w:line="400" w:lineRule="exact"/>
        <w:ind w:firstLine="420" w:firstLineChars="200"/>
      </w:pPr>
      <w:r>
        <w:t>工期总天数</w:t>
      </w:r>
      <w:r>
        <w:rPr>
          <w:rFonts w:hint="eastAsia"/>
          <w:u w:val="single"/>
          <w:lang w:val="en-US" w:eastAsia="zh-CN"/>
        </w:rPr>
        <w:t>30日历天</w:t>
      </w:r>
      <w:r>
        <w:t>，自监理人发出的开工通知中载明的开工日期起算。</w:t>
      </w:r>
    </w:p>
    <w:p>
      <w:pPr>
        <w:spacing w:line="400" w:lineRule="exact"/>
      </w:pPr>
      <w:r>
        <w:t> 四、质量标准</w:t>
      </w:r>
    </w:p>
    <w:p>
      <w:pPr>
        <w:spacing w:line="400" w:lineRule="exact"/>
      </w:pPr>
      <w:r>
        <w:t xml:space="preserve">  </w:t>
      </w:r>
      <w:r>
        <w:rPr>
          <w:rFonts w:hint="eastAsia"/>
        </w:rPr>
        <w:t xml:space="preserve">   </w:t>
      </w:r>
      <w:r>
        <w:t>工程质量标准：</w:t>
      </w:r>
      <w:r>
        <w:rPr>
          <w:rFonts w:hint="eastAsia" w:ascii="宋体" w:hAnsi="宋体"/>
          <w:szCs w:val="21"/>
          <w:u w:val="single"/>
        </w:rPr>
        <w:t>达到国家现行有关施工质量验收规范要求，并达到合格标准</w:t>
      </w:r>
      <w:r>
        <w:rPr>
          <w:rFonts w:hint="eastAsia" w:ascii="宋体" w:hAnsi="宋体"/>
          <w:szCs w:val="21"/>
        </w:rPr>
        <w:t>。</w:t>
      </w:r>
    </w:p>
    <w:p>
      <w:pPr>
        <w:spacing w:line="400" w:lineRule="exact"/>
      </w:pPr>
      <w:r>
        <w:t> 五、合同形式</w:t>
      </w:r>
    </w:p>
    <w:p>
      <w:pPr>
        <w:spacing w:line="400" w:lineRule="exact"/>
      </w:pPr>
      <w:r>
        <w:t xml:space="preserve">  </w:t>
      </w:r>
      <w:r>
        <w:rPr>
          <w:rFonts w:hint="eastAsia"/>
        </w:rPr>
        <w:t xml:space="preserve">   </w:t>
      </w:r>
      <w:r>
        <w:t>本合同采用</w:t>
      </w:r>
      <w:r>
        <w:rPr>
          <w:rFonts w:hint="eastAsia"/>
          <w:u w:val="single"/>
        </w:rPr>
        <w:t xml:space="preserve"> 固定单价 </w:t>
      </w:r>
      <w:r>
        <w:t>合同形式。</w:t>
      </w:r>
    </w:p>
    <w:p>
      <w:pPr>
        <w:spacing w:line="400" w:lineRule="exact"/>
      </w:pPr>
      <w:r>
        <w:t> 六、签约合同价</w:t>
      </w:r>
    </w:p>
    <w:p>
      <w:pPr>
        <w:spacing w:line="500" w:lineRule="exact"/>
        <w:ind w:firstLine="420" w:firstLineChars="200"/>
        <w:rPr>
          <w:b/>
          <w:szCs w:val="22"/>
        </w:rPr>
      </w:pPr>
      <w:r>
        <w:rPr>
          <w:rFonts w:hint="eastAsia" w:ascii="宋体" w:hAnsi="宋体"/>
        </w:rPr>
        <w:t>金额（大写）：</w:t>
      </w:r>
      <w:r>
        <w:rPr>
          <w:rFonts w:hint="eastAsia" w:ascii="宋体" w:hAnsi="宋体"/>
          <w:u w:val="single"/>
        </w:rPr>
        <w:t>　　　        　</w:t>
      </w:r>
      <w:r>
        <w:rPr>
          <w:rFonts w:hint="eastAsia" w:ascii="宋体" w:hAnsi="宋体"/>
        </w:rPr>
        <w:t>元（人民币）；（小写）￥：</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pPr>
        <w:spacing w:line="400" w:lineRule="exact"/>
        <w:rPr>
          <w:rFonts w:ascii="宋体" w:hAnsi="宋体"/>
        </w:rPr>
      </w:pPr>
      <w:r>
        <w:rPr>
          <w:rFonts w:hint="eastAsia"/>
          <w:b/>
          <w:szCs w:val="22"/>
        </w:rPr>
        <w:t>七、</w:t>
      </w:r>
      <w:r>
        <w:rPr>
          <w:rFonts w:hint="eastAsia" w:ascii="宋体" w:hAnsi="宋体"/>
        </w:rPr>
        <w:t>承包人项目负责人</w:t>
      </w:r>
    </w:p>
    <w:p>
      <w:pPr>
        <w:spacing w:line="400" w:lineRule="exact"/>
        <w:ind w:firstLine="420" w:firstLineChars="200"/>
        <w:rPr>
          <w:rFonts w:ascii="宋体" w:hAnsi="宋体"/>
        </w:rPr>
      </w:pPr>
      <w:r>
        <w:rPr>
          <w:rFonts w:hint="eastAsia" w:ascii="宋体" w:hAnsi="宋体"/>
        </w:rPr>
        <w:t>1、项目技术负责人</w:t>
      </w:r>
    </w:p>
    <w:p>
      <w:pPr>
        <w:spacing w:line="4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xml:space="preserve">    2、</w:t>
      </w:r>
      <w:r>
        <w:rPr>
          <w:rFonts w:hint="eastAsia"/>
        </w:rPr>
        <w:t xml:space="preserve"> </w:t>
      </w:r>
      <w:r>
        <w:rPr>
          <w:rFonts w:hint="eastAsia" w:ascii="宋体" w:hAnsi="宋体"/>
        </w:rPr>
        <w:t>…………………………。</w:t>
      </w:r>
    </w:p>
    <w:p>
      <w:pPr>
        <w:spacing w:line="400" w:lineRule="exact"/>
        <w:rPr>
          <w:rFonts w:ascii="宋体" w:hAnsi="宋体"/>
        </w:rPr>
      </w:pPr>
      <w:r>
        <w:rPr>
          <w:rFonts w:hint="eastAsia" w:ascii="宋体" w:hAnsi="宋体"/>
        </w:rPr>
        <w:t>八、合同文件的组成</w:t>
      </w:r>
    </w:p>
    <w:p>
      <w:pPr>
        <w:spacing w:line="400" w:lineRule="exact"/>
        <w:rPr>
          <w:rFonts w:ascii="宋体" w:hAnsi="宋体"/>
        </w:rPr>
      </w:pPr>
      <w:r>
        <w:rPr>
          <w:rFonts w:hint="eastAsia" w:ascii="宋体" w:hAnsi="宋体"/>
        </w:rPr>
        <w:t>　　下列文件共同构成合同文件：</w:t>
      </w:r>
    </w:p>
    <w:p>
      <w:pPr>
        <w:spacing w:line="400" w:lineRule="exact"/>
        <w:ind w:firstLine="420" w:firstLineChars="200"/>
        <w:rPr>
          <w:rFonts w:ascii="宋体" w:hAnsi="宋体"/>
        </w:rPr>
      </w:pPr>
      <w:r>
        <w:rPr>
          <w:rFonts w:hint="eastAsia" w:ascii="宋体" w:hAnsi="宋体"/>
        </w:rPr>
        <w:t>（1）</w:t>
      </w:r>
      <w:r>
        <w:rPr>
          <w:rFonts w:ascii="宋体" w:hAnsi="宋体"/>
        </w:rPr>
        <w:t>合同协议书</w:t>
      </w:r>
      <w:r>
        <w:rPr>
          <w:rFonts w:hint="eastAsia" w:ascii="宋体" w:hAnsi="宋体"/>
        </w:rPr>
        <w:t>；</w:t>
      </w:r>
    </w:p>
    <w:p>
      <w:pPr>
        <w:spacing w:line="400" w:lineRule="exact"/>
        <w:ind w:firstLine="420" w:firstLineChars="200"/>
        <w:rPr>
          <w:rFonts w:ascii="宋体" w:hAnsi="宋体"/>
        </w:rPr>
      </w:pPr>
      <w:r>
        <w:rPr>
          <w:rFonts w:hint="eastAsia" w:ascii="宋体" w:hAnsi="宋体"/>
        </w:rPr>
        <w:t>（2）中标通知书；</w:t>
      </w:r>
    </w:p>
    <w:p>
      <w:pPr>
        <w:spacing w:line="400" w:lineRule="exact"/>
        <w:ind w:firstLine="420" w:firstLineChars="200"/>
        <w:rPr>
          <w:rFonts w:ascii="宋体" w:hAnsi="宋体"/>
        </w:rPr>
      </w:pPr>
      <w:r>
        <w:rPr>
          <w:rFonts w:hint="eastAsia" w:ascii="宋体" w:hAnsi="宋体"/>
        </w:rPr>
        <w:t>（3）投标函及投标函附录；</w:t>
      </w:r>
    </w:p>
    <w:p>
      <w:pPr>
        <w:spacing w:line="400" w:lineRule="exact"/>
        <w:ind w:firstLine="420" w:firstLineChars="200"/>
        <w:rPr>
          <w:rFonts w:ascii="宋体" w:hAnsi="宋体"/>
        </w:rPr>
      </w:pPr>
      <w:r>
        <w:rPr>
          <w:rFonts w:hint="eastAsia" w:ascii="宋体" w:hAnsi="宋体"/>
        </w:rPr>
        <w:t>（4）专用合同条款；</w:t>
      </w:r>
    </w:p>
    <w:p>
      <w:pPr>
        <w:spacing w:line="400" w:lineRule="exact"/>
        <w:ind w:firstLine="420" w:firstLineChars="200"/>
        <w:rPr>
          <w:rFonts w:ascii="宋体" w:hAnsi="宋体"/>
        </w:rPr>
      </w:pPr>
      <w:r>
        <w:rPr>
          <w:rFonts w:hint="eastAsia" w:ascii="宋体" w:hAnsi="宋体"/>
        </w:rPr>
        <w:t>（5）通用合同条款；</w:t>
      </w:r>
    </w:p>
    <w:p>
      <w:pPr>
        <w:spacing w:line="400" w:lineRule="exact"/>
        <w:ind w:firstLine="420" w:firstLineChars="200"/>
        <w:rPr>
          <w:rFonts w:ascii="宋体" w:hAnsi="宋体"/>
        </w:rPr>
      </w:pPr>
      <w:r>
        <w:rPr>
          <w:rFonts w:hint="eastAsia" w:ascii="宋体" w:hAnsi="宋体"/>
        </w:rPr>
        <w:t>（6）技术标准和要求；</w:t>
      </w:r>
    </w:p>
    <w:p>
      <w:pPr>
        <w:spacing w:line="400" w:lineRule="exact"/>
        <w:ind w:firstLine="420" w:firstLineChars="200"/>
        <w:rPr>
          <w:rFonts w:ascii="宋体" w:hAnsi="宋体"/>
        </w:rPr>
      </w:pPr>
      <w:r>
        <w:rPr>
          <w:rFonts w:hint="eastAsia" w:ascii="宋体" w:hAnsi="宋体"/>
        </w:rPr>
        <w:t>（7）图纸；</w:t>
      </w:r>
    </w:p>
    <w:p>
      <w:pPr>
        <w:spacing w:line="400" w:lineRule="exact"/>
        <w:ind w:firstLine="420" w:firstLineChars="200"/>
        <w:rPr>
          <w:rFonts w:ascii="宋体" w:hAnsi="宋体"/>
        </w:rPr>
      </w:pPr>
      <w:r>
        <w:rPr>
          <w:rFonts w:hint="eastAsia" w:ascii="宋体" w:hAnsi="宋体"/>
        </w:rPr>
        <w:t>（8）已标价工程量清单；</w:t>
      </w:r>
    </w:p>
    <w:p>
      <w:pPr>
        <w:spacing w:line="400" w:lineRule="exact"/>
        <w:ind w:firstLine="420" w:firstLineChars="200"/>
        <w:rPr>
          <w:rFonts w:ascii="宋体" w:hAnsi="宋体"/>
        </w:rPr>
      </w:pPr>
      <w:r>
        <w:rPr>
          <w:rFonts w:hint="eastAsia" w:ascii="宋体" w:hAnsi="宋体"/>
        </w:rPr>
        <w:t>（9）招标文件；</w:t>
      </w:r>
    </w:p>
    <w:p>
      <w:pPr>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）投标文件</w:t>
      </w:r>
      <w:r>
        <w:rPr>
          <w:rFonts w:hint="eastAsia" w:ascii="宋体" w:hAnsi="宋体"/>
        </w:rPr>
        <w:t>；</w:t>
      </w:r>
    </w:p>
    <w:p>
      <w:pPr>
        <w:spacing w:line="400" w:lineRule="exact"/>
        <w:ind w:firstLine="420" w:firstLineChars="200"/>
        <w:rPr>
          <w:rFonts w:ascii="宋体" w:hAnsi="宋体"/>
        </w:rPr>
      </w:pPr>
      <w:r>
        <w:rPr>
          <w:rFonts w:hint="eastAsia"/>
        </w:rPr>
        <w:t>（11）工程质量保修书；</w:t>
      </w:r>
    </w:p>
    <w:p>
      <w:pPr>
        <w:spacing w:line="400" w:lineRule="exact"/>
        <w:ind w:firstLine="420" w:firstLineChars="200"/>
        <w:rPr>
          <w:rFonts w:ascii="宋体" w:hAnsi="宋体"/>
        </w:rPr>
      </w:pPr>
      <w:r>
        <w:rPr>
          <w:rFonts w:hint="eastAsia"/>
        </w:rPr>
        <w:t>（12）建设工程廉政责任书；</w:t>
      </w:r>
    </w:p>
    <w:p>
      <w:pPr>
        <w:spacing w:line="400" w:lineRule="exact"/>
        <w:ind w:firstLine="420" w:firstLineChars="200"/>
        <w:rPr>
          <w:rFonts w:ascii="宋体" w:hAnsi="宋体"/>
        </w:rPr>
      </w:pPr>
      <w:r>
        <w:rPr>
          <w:rFonts w:hint="eastAsia" w:ascii="宋体" w:hAnsi="宋体"/>
        </w:rPr>
        <w:t>（13）其他合同文件。</w:t>
      </w:r>
    </w:p>
    <w:p>
      <w:pPr>
        <w:spacing w:line="400" w:lineRule="exact"/>
        <w:rPr>
          <w:rFonts w:ascii="宋体" w:hAnsi="宋体"/>
        </w:rPr>
      </w:pPr>
      <w:r>
        <w:rPr>
          <w:rFonts w:hint="eastAsia" w:ascii="宋体" w:hAnsi="宋体"/>
        </w:rPr>
        <w:t>　　上述文件互相补充和解释，如有不明确或不一致之处，以合同约定次序在先者为准。</w:t>
      </w:r>
    </w:p>
    <w:p>
      <w:pPr>
        <w:spacing w:line="400" w:lineRule="exact"/>
        <w:rPr>
          <w:rFonts w:ascii="宋体" w:hAnsi="宋体"/>
        </w:rPr>
      </w:pPr>
      <w:r>
        <w:t> </w:t>
      </w:r>
      <w:r>
        <w:rPr>
          <w:rFonts w:hint="eastAsia" w:ascii="宋体" w:hAnsi="宋体"/>
        </w:rPr>
        <w:t>　　本协议书中有关词语定义与合同条款中的定义相同。</w:t>
      </w:r>
    </w:p>
    <w:p>
      <w:pPr>
        <w:spacing w:line="400" w:lineRule="exact"/>
        <w:ind w:firstLine="420"/>
        <w:rPr>
          <w:rFonts w:ascii="宋体" w:hAnsi="宋体"/>
        </w:rPr>
      </w:pPr>
      <w:r>
        <w:rPr>
          <w:rFonts w:hint="eastAsia" w:ascii="宋体" w:hAnsi="宋体"/>
        </w:rPr>
        <w:t>九、承包人承诺按照合同约定进行施工、竣工、交付并在缺陷责任期内对工程缺陷承担维修责任。</w:t>
      </w:r>
    </w:p>
    <w:p>
      <w:pPr>
        <w:spacing w:line="400" w:lineRule="exact"/>
        <w:ind w:firstLine="420"/>
        <w:rPr>
          <w:rFonts w:ascii="宋体" w:hAnsi="宋体"/>
        </w:rPr>
      </w:pPr>
      <w:r>
        <w:rPr>
          <w:rFonts w:hint="eastAsia" w:ascii="宋体" w:hAnsi="宋体"/>
        </w:rPr>
        <w:t>十、发包人承诺按照合同约定的条件、期限和方式向承包人支付合同价款。</w:t>
      </w:r>
    </w:p>
    <w:p>
      <w:pPr>
        <w:spacing w:line="400" w:lineRule="exact"/>
        <w:ind w:firstLine="420"/>
        <w:rPr>
          <w:rFonts w:ascii="宋体" w:hAnsi="宋体"/>
        </w:rPr>
      </w:pPr>
      <w:r>
        <w:rPr>
          <w:rFonts w:hint="eastAsia" w:ascii="宋体" w:hAnsi="宋体"/>
        </w:rPr>
        <w:t>十一、本协议书自双方法定代表人或其委托代理人签字盖单位章后生效，本协议连同其他合同文件</w:t>
      </w:r>
      <w:r>
        <w:rPr>
          <w:rFonts w:hint="eastAsia" w:ascii="宋体" w:hAnsi="宋体"/>
          <w:szCs w:val="21"/>
        </w:rPr>
        <w:t>正本一式</w:t>
      </w:r>
      <w:r>
        <w:rPr>
          <w:rFonts w:hint="eastAsia" w:ascii="宋体" w:hAnsi="宋体"/>
          <w:szCs w:val="21"/>
          <w:u w:val="single"/>
        </w:rPr>
        <w:t xml:space="preserve">  </w:t>
      </w:r>
      <w:r>
        <w:rPr>
          <w:rFonts w:hint="eastAsia" w:ascii="宋体" w:hAnsi="宋体"/>
          <w:szCs w:val="21"/>
        </w:rPr>
        <w:t>份，合同双方各执</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份，发包人</w:t>
      </w:r>
      <w:r>
        <w:rPr>
          <w:rFonts w:hint="eastAsia" w:ascii="宋体" w:hAnsi="宋体"/>
          <w:szCs w:val="21"/>
          <w:u w:val="single"/>
        </w:rPr>
        <w:t xml:space="preserve">  </w:t>
      </w:r>
      <w:r>
        <w:rPr>
          <w:rFonts w:hint="eastAsia" w:ascii="宋体" w:hAnsi="宋体"/>
          <w:szCs w:val="21"/>
        </w:rPr>
        <w:t>份，承包人</w:t>
      </w:r>
      <w:r>
        <w:rPr>
          <w:rFonts w:hint="eastAsia" w:ascii="宋体" w:hAnsi="宋体"/>
          <w:szCs w:val="21"/>
          <w:u w:val="single"/>
        </w:rPr>
        <w:t xml:space="preserve">  </w:t>
      </w:r>
      <w:r>
        <w:rPr>
          <w:rFonts w:hint="eastAsia" w:ascii="宋体" w:hAnsi="宋体"/>
          <w:szCs w:val="21"/>
        </w:rPr>
        <w:t>份，其中一份在合同报送建设行政主管部门备案时留存。</w:t>
      </w:r>
    </w:p>
    <w:p>
      <w:pPr>
        <w:spacing w:line="400" w:lineRule="exact"/>
        <w:ind w:firstLine="420"/>
        <w:rPr>
          <w:rFonts w:ascii="宋体" w:hAnsi="宋体"/>
        </w:rPr>
      </w:pPr>
      <w:r>
        <w:rPr>
          <w:rFonts w:hint="eastAsia" w:ascii="宋体" w:hAnsi="宋体"/>
        </w:rPr>
        <w:t>十二、合同未尽事宜，双方另行签订补充协议，但不得背离本协议第九条所约定的合同文件的实质性内容。补充协议是合同文件的组成部分。</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开户银行：</w:t>
      </w:r>
      <w:r>
        <w:rPr>
          <w:rFonts w:hint="eastAsia" w:ascii="宋体" w:hAnsi="宋体"/>
          <w:u w:val="single"/>
        </w:rPr>
        <w:t>　　　　　　　 　 　　</w:t>
      </w:r>
      <w:r>
        <w:rPr>
          <w:rFonts w:hint="eastAsia" w:ascii="宋体" w:hAnsi="宋体"/>
        </w:rPr>
        <w:t>　　　　 　 开户银行：</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帐    号：</w:t>
      </w:r>
      <w:r>
        <w:rPr>
          <w:rFonts w:hint="eastAsia" w:ascii="宋体" w:hAnsi="宋体"/>
          <w:u w:val="single"/>
        </w:rPr>
        <w:t>　　　　　　 　　 　　</w:t>
      </w:r>
      <w:r>
        <w:rPr>
          <w:rFonts w:hint="eastAsia" w:ascii="宋体" w:hAnsi="宋体"/>
        </w:rPr>
        <w:t>　　　　  　帐    号：</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rPr>
          <w:rFonts w:ascii="宋体" w:hAnsi="宋体" w:cs="宋体"/>
          <w:szCs w:val="21"/>
        </w:rPr>
      </w:pPr>
      <w:r>
        <w:rPr>
          <w:rFonts w:hint="eastAsia" w:ascii="宋体" w:hAnsi="宋体" w:cs="宋体"/>
          <w:szCs w:val="21"/>
        </w:rPr>
        <w:t>　　　　　　</w:t>
      </w:r>
    </w:p>
    <w:p>
      <w:pPr>
        <w:spacing w:line="400" w:lineRule="exact"/>
        <w:ind w:firstLine="1785" w:firstLineChars="850"/>
        <w:rPr>
          <w:b/>
          <w:sz w:val="32"/>
          <w:szCs w:val="32"/>
        </w:rPr>
      </w:pPr>
      <w:r>
        <w:rPr>
          <w:rFonts w:hint="eastAsia" w:ascii="宋体" w:hAnsi="宋体" w:cs="宋体"/>
          <w:szCs w:val="21"/>
        </w:rPr>
        <w:t>　年　　月　　日　　　　　　　　　            年　　月　　日</w:t>
      </w:r>
    </w:p>
    <w:p>
      <w:bookmarkStart w:id="472" w:name="_Toc11318"/>
      <w:bookmarkStart w:id="473" w:name="_Toc418077865"/>
      <w:bookmarkStart w:id="474" w:name="_Toc428455509"/>
      <w:bookmarkStart w:id="475" w:name="_Toc452058738"/>
    </w:p>
    <w:p>
      <w:pPr>
        <w:pStyle w:val="6"/>
        <w:spacing w:before="0" w:after="0" w:line="400" w:lineRule="exact"/>
        <w:jc w:val="center"/>
        <w:rPr>
          <w:rFonts w:ascii="黑体" w:eastAsia="黑体"/>
        </w:rPr>
      </w:pPr>
    </w:p>
    <w:p>
      <w:pPr>
        <w:pStyle w:val="6"/>
        <w:spacing w:before="0" w:after="0" w:line="400" w:lineRule="exact"/>
        <w:jc w:val="center"/>
      </w:pPr>
      <w:r>
        <w:rPr>
          <w:rFonts w:hint="eastAsia" w:ascii="黑体" w:eastAsia="黑体"/>
        </w:rPr>
        <w:t xml:space="preserve">第二节 </w:t>
      </w:r>
      <w:r>
        <w:rPr>
          <w:rFonts w:hint="eastAsia"/>
        </w:rPr>
        <w:t>通用合同条款</w:t>
      </w:r>
    </w:p>
    <w:p>
      <w:pPr>
        <w:snapToGrid w:val="0"/>
        <w:spacing w:line="288" w:lineRule="auto"/>
        <w:ind w:firstLine="440" w:firstLineChars="200"/>
        <w:rPr>
          <w:rFonts w:ascii="宋体" w:hAnsi="宋体"/>
          <w:bCs/>
          <w:sz w:val="22"/>
          <w:szCs w:val="22"/>
        </w:rPr>
      </w:pPr>
      <w:r>
        <w:rPr>
          <w:rFonts w:hint="eastAsia" w:ascii="宋体" w:hAnsi="宋体"/>
          <w:bCs/>
          <w:sz w:val="22"/>
          <w:szCs w:val="22"/>
        </w:rPr>
        <w:t>采用中华人民共和国《标准施工招标文件（2007年版）》（中国计划出版社）第四章第一节的《通用合同条款》。</w:t>
      </w:r>
    </w:p>
    <w:p>
      <w:pPr>
        <w:pStyle w:val="6"/>
        <w:spacing w:before="0" w:after="0" w:line="400" w:lineRule="exact"/>
        <w:jc w:val="center"/>
        <w:rPr>
          <w:rFonts w:ascii="黑体" w:eastAsia="黑体"/>
        </w:rPr>
      </w:pPr>
      <w:r>
        <w:rPr>
          <w:rFonts w:hint="eastAsia" w:ascii="黑体" w:eastAsia="黑体"/>
        </w:rPr>
        <w:t>第三节 合同专用条款</w:t>
      </w:r>
      <w:bookmarkEnd w:id="472"/>
      <w:bookmarkEnd w:id="473"/>
      <w:bookmarkEnd w:id="474"/>
      <w:bookmarkEnd w:id="475"/>
    </w:p>
    <w:p>
      <w:pPr>
        <w:spacing w:line="400" w:lineRule="exact"/>
        <w:rPr>
          <w:b/>
        </w:rPr>
      </w:pPr>
      <w:r>
        <w:rPr>
          <w:rFonts w:hint="eastAsia"/>
          <w:b/>
        </w:rPr>
        <w:t>1. 一般约定</w:t>
      </w:r>
    </w:p>
    <w:p>
      <w:pPr>
        <w:spacing w:line="400" w:lineRule="exact"/>
        <w:rPr>
          <w:b/>
        </w:rPr>
      </w:pPr>
      <w:r>
        <w:rPr>
          <w:rFonts w:hint="eastAsia"/>
          <w:b/>
        </w:rPr>
        <w:t>1.1  词语定义</w:t>
      </w:r>
    </w:p>
    <w:p>
      <w:pPr>
        <w:widowControl/>
        <w:tabs>
          <w:tab w:val="left" w:pos="5040"/>
          <w:tab w:val="left" w:pos="6300"/>
        </w:tabs>
        <w:adjustRightInd w:val="0"/>
        <w:snapToGrid w:val="0"/>
        <w:spacing w:line="400" w:lineRule="exact"/>
        <w:ind w:firstLine="420" w:firstLineChars="200"/>
        <w:jc w:val="left"/>
      </w:pPr>
      <w:r>
        <w:rPr>
          <w:rFonts w:hint="eastAsia"/>
        </w:rPr>
        <w:t>1.1.2  合同当事人和人员</w:t>
      </w:r>
    </w:p>
    <w:p>
      <w:pPr>
        <w:widowControl/>
        <w:tabs>
          <w:tab w:val="left" w:pos="5040"/>
          <w:tab w:val="left" w:pos="6300"/>
        </w:tabs>
        <w:adjustRightInd w:val="0"/>
        <w:snapToGrid w:val="0"/>
        <w:spacing w:line="400" w:lineRule="exact"/>
        <w:ind w:firstLine="420" w:firstLineChars="200"/>
        <w:jc w:val="left"/>
        <w:rPr>
          <w:rFonts w:hint="eastAsia" w:eastAsia="宋体"/>
          <w:b/>
          <w:u w:val="single"/>
          <w:lang w:eastAsia="zh-CN"/>
        </w:rPr>
      </w:pPr>
      <w:r>
        <w:rPr>
          <w:rFonts w:hint="eastAsia"/>
        </w:rPr>
        <w:t>1.1.2.2  发包人：</w:t>
      </w:r>
      <w:r>
        <w:rPr>
          <w:rFonts w:hint="eastAsia"/>
          <w:b/>
          <w:u w:val="single"/>
        </w:rPr>
        <w:t xml:space="preserve"> </w:t>
      </w:r>
      <w:r>
        <w:rPr>
          <w:rFonts w:hint="eastAsia"/>
          <w:b/>
          <w:u w:val="single"/>
          <w:lang w:eastAsia="zh-CN"/>
        </w:rPr>
        <w:t>重庆安居古城华夏文化旅游发展有限公司</w:t>
      </w:r>
    </w:p>
    <w:p>
      <w:pPr>
        <w:widowControl/>
        <w:tabs>
          <w:tab w:val="left" w:pos="5040"/>
          <w:tab w:val="left" w:pos="6300"/>
        </w:tabs>
        <w:adjustRightInd w:val="0"/>
        <w:snapToGrid w:val="0"/>
        <w:spacing w:line="400" w:lineRule="exact"/>
        <w:ind w:firstLine="420" w:firstLineChars="200"/>
        <w:jc w:val="left"/>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1.1.3  工程和设备</w:t>
      </w:r>
    </w:p>
    <w:p>
      <w:pPr>
        <w:widowControl/>
        <w:tabs>
          <w:tab w:val="left" w:pos="5040"/>
          <w:tab w:val="left" w:pos="6300"/>
        </w:tabs>
        <w:adjustRightInd w:val="0"/>
        <w:snapToGrid w:val="0"/>
        <w:spacing w:line="400" w:lineRule="exact"/>
        <w:ind w:firstLine="420" w:firstLineChars="200"/>
        <w:jc w:val="left"/>
      </w:pPr>
      <w:r>
        <w:rPr>
          <w:rFonts w:hint="eastAsia"/>
        </w:rPr>
        <w:t>1.1.3.2  永久工程：</w:t>
      </w:r>
      <w:r>
        <w:rPr>
          <w:rFonts w:hint="eastAsia"/>
          <w:b/>
        </w:rPr>
        <w:t xml:space="preserve"> </w:t>
      </w:r>
      <w:r>
        <w:rPr>
          <w:rFonts w:hint="eastAsia"/>
          <w:b/>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pPr>
      <w:r>
        <w:rPr>
          <w:rFonts w:hint="eastAsia"/>
        </w:rPr>
        <w:t xml:space="preserve">1.1.3.3  临时工程： </w:t>
      </w:r>
      <w:r>
        <w:rPr>
          <w:rFonts w:hint="eastAsia"/>
          <w:b/>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pPr>
      <w:r>
        <w:rPr>
          <w:rFonts w:hint="eastAsia"/>
        </w:rPr>
        <w:t>1.1.3.10  永久占地：</w:t>
      </w:r>
    </w:p>
    <w:p>
      <w:pPr>
        <w:widowControl/>
        <w:tabs>
          <w:tab w:val="left" w:pos="5040"/>
          <w:tab w:val="left" w:pos="6300"/>
        </w:tabs>
        <w:adjustRightInd w:val="0"/>
        <w:snapToGrid w:val="0"/>
        <w:spacing w:line="400" w:lineRule="exact"/>
        <w:ind w:firstLine="420" w:firstLineChars="200"/>
        <w:jc w:val="left"/>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pPr>
      <w:r>
        <w:rPr>
          <w:rFonts w:hint="eastAsia"/>
        </w:rPr>
        <w:t>1.1.4  日期</w:t>
      </w:r>
    </w:p>
    <w:p>
      <w:pPr>
        <w:widowControl/>
        <w:tabs>
          <w:tab w:val="left" w:pos="5040"/>
          <w:tab w:val="left" w:pos="6300"/>
        </w:tabs>
        <w:adjustRightInd w:val="0"/>
        <w:snapToGrid w:val="0"/>
        <w:spacing w:line="400" w:lineRule="exact"/>
        <w:ind w:firstLine="420" w:firstLineChars="200"/>
        <w:jc w:val="left"/>
        <w:rPr>
          <w:b/>
          <w:szCs w:val="22"/>
          <w:u w:val="single"/>
        </w:rPr>
      </w:pPr>
      <w:r>
        <w:rPr>
          <w:rFonts w:hint="eastAsia"/>
        </w:rPr>
        <w:t>1.1.4.5 缺陷责任期：</w:t>
      </w:r>
      <w:r>
        <w:rPr>
          <w:rFonts w:hint="eastAsia" w:ascii="宋体" w:hAnsi="宋体" w:cs="宋体"/>
          <w:b/>
          <w:szCs w:val="22"/>
          <w:u w:val="single"/>
          <w:lang w:val="en-US" w:eastAsia="zh-CN"/>
        </w:rPr>
        <w:t>24</w:t>
      </w:r>
      <w:r>
        <w:rPr>
          <w:rFonts w:hint="eastAsia" w:ascii="宋体" w:hAnsi="宋体" w:cs="宋体"/>
          <w:b/>
          <w:szCs w:val="22"/>
          <w:u w:val="single"/>
        </w:rPr>
        <w:t>个月</w:t>
      </w:r>
      <w:r>
        <w:rPr>
          <w:rFonts w:hint="eastAsia"/>
          <w:b/>
          <w:szCs w:val="22"/>
          <w:u w:val="single"/>
        </w:rPr>
        <w:t>，自工程竣工验收合格之日起计算。</w:t>
      </w:r>
    </w:p>
    <w:p>
      <w:pPr>
        <w:spacing w:line="400" w:lineRule="exact"/>
        <w:rPr>
          <w:b/>
        </w:rPr>
      </w:pPr>
      <w:r>
        <w:rPr>
          <w:rFonts w:hint="eastAsia"/>
          <w:b/>
        </w:rPr>
        <w:t>1.4  合同文件的优先顺序</w:t>
      </w:r>
    </w:p>
    <w:p>
      <w:pPr>
        <w:spacing w:line="400" w:lineRule="exact"/>
        <w:ind w:firstLine="420" w:firstLineChars="200"/>
      </w:pPr>
      <w:r>
        <w:rPr>
          <w:rFonts w:hint="eastAsia"/>
        </w:rPr>
        <w:t>合同文件组成及解释顺序：</w:t>
      </w:r>
    </w:p>
    <w:p>
      <w:pPr>
        <w:spacing w:line="400" w:lineRule="exact"/>
        <w:ind w:firstLine="420" w:firstLineChars="200"/>
      </w:pPr>
      <w:r>
        <w:rPr>
          <w:rFonts w:hint="eastAsia"/>
        </w:rPr>
        <w:t>（1）</w:t>
      </w:r>
      <w:r>
        <w:t>合同协议书</w:t>
      </w:r>
      <w:r>
        <w:rPr>
          <w:rFonts w:hint="eastAsia"/>
        </w:rPr>
        <w:t>；</w:t>
      </w:r>
    </w:p>
    <w:p>
      <w:pPr>
        <w:spacing w:line="400" w:lineRule="exact"/>
        <w:ind w:firstLine="420" w:firstLineChars="200"/>
      </w:pPr>
      <w:r>
        <w:rPr>
          <w:rFonts w:hint="eastAsia"/>
        </w:rPr>
        <w:t>（2）中标通知书；</w:t>
      </w:r>
    </w:p>
    <w:p>
      <w:pPr>
        <w:spacing w:line="400" w:lineRule="exact"/>
        <w:ind w:firstLine="420" w:firstLineChars="200"/>
      </w:pPr>
      <w:r>
        <w:rPr>
          <w:rFonts w:hint="eastAsia"/>
        </w:rPr>
        <w:t>（3）投标函及投标函附录；</w:t>
      </w:r>
    </w:p>
    <w:p>
      <w:pPr>
        <w:spacing w:line="400" w:lineRule="exact"/>
        <w:ind w:firstLine="420" w:firstLineChars="200"/>
      </w:pPr>
      <w:r>
        <w:rPr>
          <w:rFonts w:hint="eastAsia"/>
        </w:rPr>
        <w:t>（4）专用合同条款；</w:t>
      </w:r>
    </w:p>
    <w:p>
      <w:pPr>
        <w:spacing w:line="400" w:lineRule="exact"/>
        <w:ind w:firstLine="420" w:firstLineChars="200"/>
      </w:pPr>
      <w:r>
        <w:rPr>
          <w:rFonts w:hint="eastAsia"/>
        </w:rPr>
        <w:t>（5）通用合同条款；</w:t>
      </w:r>
    </w:p>
    <w:p>
      <w:pPr>
        <w:spacing w:line="400" w:lineRule="exact"/>
        <w:ind w:firstLine="420" w:firstLineChars="200"/>
      </w:pPr>
      <w:r>
        <w:rPr>
          <w:rFonts w:hint="eastAsia"/>
        </w:rPr>
        <w:t>（6）技术标准和要求；</w:t>
      </w:r>
    </w:p>
    <w:p>
      <w:pPr>
        <w:spacing w:line="400" w:lineRule="exact"/>
        <w:ind w:firstLine="420" w:firstLineChars="200"/>
      </w:pPr>
      <w:r>
        <w:rPr>
          <w:rFonts w:hint="eastAsia"/>
        </w:rPr>
        <w:t>（7）图纸；</w:t>
      </w:r>
    </w:p>
    <w:p>
      <w:pPr>
        <w:spacing w:line="400" w:lineRule="exact"/>
        <w:ind w:firstLine="420" w:firstLineChars="200"/>
      </w:pPr>
      <w:r>
        <w:rPr>
          <w:rFonts w:hint="eastAsia"/>
        </w:rPr>
        <w:t>（8）已标价工程量清单；</w:t>
      </w:r>
    </w:p>
    <w:p>
      <w:pPr>
        <w:spacing w:line="400" w:lineRule="exact"/>
        <w:ind w:firstLine="420" w:firstLineChars="200"/>
      </w:pPr>
      <w:r>
        <w:rPr>
          <w:rFonts w:hint="eastAsia"/>
        </w:rPr>
        <w:t>（9）招标文件；</w:t>
      </w:r>
    </w:p>
    <w:p>
      <w:pPr>
        <w:spacing w:line="400" w:lineRule="exact"/>
        <w:ind w:firstLine="420" w:firstLineChars="200"/>
      </w:pPr>
      <w:r>
        <w:t>（</w:t>
      </w:r>
      <w:r>
        <w:rPr>
          <w:rFonts w:hint="eastAsia"/>
        </w:rPr>
        <w:t>10</w:t>
      </w:r>
      <w:r>
        <w:t>）投标文件</w:t>
      </w:r>
      <w:r>
        <w:rPr>
          <w:rFonts w:hint="eastAsia"/>
        </w:rPr>
        <w:t>；</w:t>
      </w:r>
    </w:p>
    <w:p>
      <w:pPr>
        <w:spacing w:line="400" w:lineRule="exact"/>
        <w:ind w:firstLine="420" w:firstLineChars="200"/>
      </w:pPr>
      <w:r>
        <w:rPr>
          <w:rFonts w:hint="eastAsia"/>
        </w:rPr>
        <w:t>（11）工程质量保修书；</w:t>
      </w:r>
    </w:p>
    <w:p>
      <w:pPr>
        <w:spacing w:line="400" w:lineRule="exact"/>
        <w:ind w:firstLine="420" w:firstLineChars="200"/>
      </w:pPr>
      <w:r>
        <w:rPr>
          <w:rFonts w:hint="eastAsia"/>
        </w:rPr>
        <w:t>（12）建设工程廉政责任书；</w:t>
      </w:r>
    </w:p>
    <w:p>
      <w:pPr>
        <w:spacing w:line="400" w:lineRule="exact"/>
        <w:ind w:firstLine="420" w:firstLineChars="200"/>
      </w:pPr>
      <w:r>
        <w:rPr>
          <w:rFonts w:hint="eastAsia"/>
        </w:rPr>
        <w:t>（13）其他合同文件。</w:t>
      </w:r>
    </w:p>
    <w:p>
      <w:pPr>
        <w:spacing w:line="400" w:lineRule="exact"/>
        <w:ind w:firstLine="420" w:firstLineChars="200"/>
      </w:pPr>
      <w:r>
        <w:rPr>
          <w:rFonts w:hint="eastAsia" w:ascii="宋体" w:hAnsi="宋体"/>
        </w:rPr>
        <w:t>上述文件互相补充和解释，如有不明确或不一致之处，以合同约定次序在先者为准。</w:t>
      </w:r>
    </w:p>
    <w:p>
      <w:pPr>
        <w:spacing w:line="400" w:lineRule="exact"/>
        <w:rPr>
          <w:b/>
        </w:rPr>
      </w:pPr>
      <w:r>
        <w:rPr>
          <w:rFonts w:hint="eastAsia"/>
          <w:b/>
        </w:rPr>
        <w:t>1.5  合同生效的条件</w:t>
      </w:r>
    </w:p>
    <w:p>
      <w:pPr>
        <w:spacing w:line="400" w:lineRule="exact"/>
        <w:ind w:firstLine="411" w:firstLineChars="196"/>
        <w:rPr>
          <w:b/>
        </w:rPr>
      </w:pPr>
      <w:r>
        <w:rPr>
          <w:rFonts w:hint="eastAsia" w:ascii="宋体" w:hAnsi="宋体" w:cs="宋体"/>
          <w:snapToGrid w:val="0"/>
          <w:szCs w:val="21"/>
        </w:rPr>
        <w:t>合同生效的条件：</w:t>
      </w:r>
      <w:r>
        <w:rPr>
          <w:rFonts w:hint="eastAsia" w:ascii="宋体" w:hAnsi="宋体" w:cs="宋体"/>
          <w:b/>
          <w:szCs w:val="21"/>
          <w:u w:val="single"/>
        </w:rPr>
        <w:t>经双方法定代表人签字并盖公章后生效。在双方履行完本合同约定的各自的权利和义务后自动失效。</w:t>
      </w:r>
    </w:p>
    <w:p>
      <w:pPr>
        <w:spacing w:line="400" w:lineRule="exact"/>
        <w:rPr>
          <w:b/>
        </w:rPr>
      </w:pPr>
      <w:r>
        <w:rPr>
          <w:rFonts w:hint="eastAsia"/>
          <w:b/>
        </w:rPr>
        <w:t>1.6  图纸和承包人文件</w:t>
      </w:r>
    </w:p>
    <w:p>
      <w:pPr>
        <w:spacing w:line="400" w:lineRule="exact"/>
        <w:ind w:firstLine="420" w:firstLineChars="200"/>
        <w:rPr>
          <w:b/>
          <w:u w:val="single"/>
        </w:rPr>
      </w:pPr>
      <w:r>
        <w:rPr>
          <w:rFonts w:hint="eastAsia"/>
        </w:rPr>
        <w:t>1.6.1  发包人提供图纸的期限、数量：</w:t>
      </w:r>
      <w:r>
        <w:rPr>
          <w:rFonts w:hint="eastAsia"/>
          <w:b/>
          <w:u w:val="single"/>
        </w:rPr>
        <w:t>签订合同后3日内，由发包人提供2套图纸，如果承包人要求增加所提供图纸套数，费用由承包人承担；</w:t>
      </w:r>
    </w:p>
    <w:p>
      <w:pPr>
        <w:spacing w:line="400" w:lineRule="exact"/>
        <w:ind w:firstLine="420" w:firstLineChars="200"/>
        <w:rPr>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图纸会审交底后并在距开工令发出7天前，提供一式4套。</w:t>
      </w:r>
    </w:p>
    <w:p>
      <w:pPr>
        <w:spacing w:line="400" w:lineRule="exact"/>
        <w:ind w:firstLine="435"/>
      </w:pPr>
      <w:r>
        <w:rPr>
          <w:rFonts w:hint="eastAsia"/>
        </w:rPr>
        <w:t>监理人批复承包人提供文件的期限：</w:t>
      </w:r>
      <w:r>
        <w:rPr>
          <w:rFonts w:hint="eastAsia"/>
          <w:b/>
          <w:u w:val="single"/>
        </w:rPr>
        <w:t>开工前7天。</w:t>
      </w:r>
    </w:p>
    <w:p>
      <w:pPr>
        <w:spacing w:line="400" w:lineRule="exact"/>
        <w:ind w:firstLine="435"/>
      </w:pPr>
      <w:r>
        <w:rPr>
          <w:rFonts w:hint="eastAsia"/>
        </w:rPr>
        <w:t>1.6.3  监理签发图纸修改的期限：</w:t>
      </w:r>
      <w:r>
        <w:rPr>
          <w:rFonts w:hint="eastAsia"/>
          <w:b/>
          <w:u w:val="single"/>
        </w:rPr>
        <w:t xml:space="preserve"> 在该工程或工程部位施工前 7天。</w:t>
      </w:r>
    </w:p>
    <w:p>
      <w:pPr>
        <w:spacing w:line="400" w:lineRule="exact"/>
        <w:rPr>
          <w:b/>
        </w:rPr>
      </w:pPr>
      <w:r>
        <w:rPr>
          <w:rFonts w:hint="eastAsia"/>
          <w:b/>
        </w:rPr>
        <w:t>1.7  联络</w:t>
      </w:r>
    </w:p>
    <w:p>
      <w:pPr>
        <w:spacing w:line="400" w:lineRule="exact"/>
        <w:ind w:firstLine="420" w:firstLineChars="200"/>
      </w:pPr>
      <w:r>
        <w:rPr>
          <w:rFonts w:hint="eastAsia"/>
        </w:rPr>
        <w:t>1.7.2  联络送达的期限：</w:t>
      </w:r>
      <w:r>
        <w:rPr>
          <w:rFonts w:hint="eastAsia"/>
          <w:b/>
          <w:u w:val="single"/>
        </w:rPr>
        <w:t xml:space="preserve">各类文件在正式签发后，1天内现场送达项目代表，并办理签收手续。 </w:t>
      </w:r>
      <w:r>
        <w:rPr>
          <w:rFonts w:hint="eastAsia"/>
        </w:rPr>
        <w:t xml:space="preserve"> </w:t>
      </w:r>
    </w:p>
    <w:p>
      <w:pPr>
        <w:spacing w:line="400" w:lineRule="exact"/>
        <w:rPr>
          <w:b/>
        </w:rPr>
      </w:pPr>
      <w:r>
        <w:rPr>
          <w:rFonts w:hint="eastAsia"/>
          <w:b/>
        </w:rPr>
        <w:t>2.  发包人义务</w:t>
      </w:r>
    </w:p>
    <w:p>
      <w:pPr>
        <w:spacing w:line="400" w:lineRule="exact"/>
        <w:rPr>
          <w:b/>
        </w:rPr>
      </w:pPr>
      <w:r>
        <w:rPr>
          <w:rFonts w:hint="eastAsia"/>
          <w:b/>
        </w:rPr>
        <w:t>2.3  提供施工场地</w:t>
      </w:r>
    </w:p>
    <w:p>
      <w:pPr>
        <w:spacing w:line="400" w:lineRule="exact"/>
        <w:ind w:firstLine="411" w:firstLineChars="196"/>
        <w:rPr>
          <w:b/>
        </w:rPr>
      </w:pPr>
      <w:r>
        <w:rPr>
          <w:rFonts w:hint="eastAsia"/>
        </w:rPr>
        <w:t>发包人提供施工场地和有关资料的时间：</w:t>
      </w:r>
      <w:r>
        <w:rPr>
          <w:rFonts w:hint="eastAsia"/>
          <w:b/>
          <w:u w:val="single"/>
        </w:rPr>
        <w:t xml:space="preserve">合同签订后7日内。 </w:t>
      </w:r>
      <w:r>
        <w:rPr>
          <w:rFonts w:hint="eastAsia"/>
        </w:rPr>
        <w:t xml:space="preserve">   </w:t>
      </w:r>
    </w:p>
    <w:p>
      <w:pPr>
        <w:spacing w:line="400" w:lineRule="exact"/>
        <w:rPr>
          <w:b/>
        </w:rPr>
      </w:pPr>
      <w:r>
        <w:rPr>
          <w:rFonts w:hint="eastAsia"/>
          <w:b/>
        </w:rPr>
        <w:t>2.8  其他义务</w:t>
      </w:r>
    </w:p>
    <w:p>
      <w:pPr>
        <w:spacing w:line="400" w:lineRule="exact"/>
        <w:ind w:firstLine="420" w:firstLineChars="200"/>
      </w:pPr>
      <w:r>
        <w:rPr>
          <w:rFonts w:hint="eastAsia"/>
        </w:rPr>
        <w:t>发包人应按约定的时间和要求完成以下工作：</w:t>
      </w:r>
    </w:p>
    <w:p>
      <w:pPr>
        <w:spacing w:line="400" w:lineRule="exact"/>
        <w:ind w:firstLine="420" w:firstLineChars="200"/>
      </w:pPr>
      <w:r>
        <w:rPr>
          <w:rFonts w:hint="eastAsia"/>
        </w:rPr>
        <w:t xml:space="preserve">2.8.1施工场地具备施工条件的要求及完成的时间： </w:t>
      </w:r>
      <w:r>
        <w:rPr>
          <w:rFonts w:hint="eastAsia"/>
          <w:b/>
          <w:u w:val="single"/>
        </w:rPr>
        <w:t>以现状为准</w:t>
      </w:r>
      <w:r>
        <w:rPr>
          <w:rFonts w:hint="eastAsia"/>
        </w:rPr>
        <w:t>。</w:t>
      </w:r>
    </w:p>
    <w:p>
      <w:pPr>
        <w:spacing w:line="400" w:lineRule="exact"/>
        <w:ind w:firstLine="420" w:firstLineChars="200"/>
      </w:pPr>
      <w:r>
        <w:rPr>
          <w:rFonts w:hint="eastAsia"/>
        </w:rPr>
        <w:t>2.8.2将施工所需的水、电、电讯线路接至施工场地的时间、地点和供应要求：</w:t>
      </w:r>
      <w:r>
        <w:rPr>
          <w:rFonts w:hint="eastAsia"/>
          <w:b/>
          <w:u w:val="single"/>
        </w:rPr>
        <w:t>发包人解决施工用电、用水并承担相应费用</w:t>
      </w:r>
      <w:r>
        <w:rPr>
          <w:rFonts w:hint="eastAsia"/>
          <w:b/>
          <w:u w:val="single"/>
          <w:lang w:eastAsia="zh-CN"/>
        </w:rPr>
        <w:t>，</w:t>
      </w:r>
      <w:r>
        <w:rPr>
          <w:rFonts w:hint="eastAsia"/>
          <w:b/>
          <w:u w:val="single"/>
        </w:rPr>
        <w:t>施工所需的电讯线路由承包人自行解决。</w:t>
      </w:r>
    </w:p>
    <w:p>
      <w:pPr>
        <w:spacing w:line="400" w:lineRule="exact"/>
        <w:ind w:firstLine="420" w:firstLineChars="200"/>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pPr>
        <w:spacing w:line="400" w:lineRule="exact"/>
        <w:ind w:firstLine="420" w:firstLineChars="200"/>
        <w:rPr>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pPr>
        <w:spacing w:line="400" w:lineRule="exact"/>
        <w:ind w:firstLine="420" w:firstLineChars="200"/>
      </w:pPr>
      <w:r>
        <w:rPr>
          <w:rFonts w:hint="eastAsia"/>
        </w:rPr>
        <w:t xml:space="preserve">2.8.5水准点与座标控制点交验要求：  </w:t>
      </w:r>
      <w:r>
        <w:rPr>
          <w:rFonts w:hint="eastAsia"/>
          <w:b/>
          <w:u w:val="single"/>
        </w:rPr>
        <w:t>开工7天前发包人通过监理人以书面形式通知承包人，并组织相关单位进行现场交验，同时做好交验记录</w:t>
      </w:r>
      <w:r>
        <w:rPr>
          <w:rFonts w:hint="eastAsia"/>
        </w:rPr>
        <w:t>。</w:t>
      </w:r>
    </w:p>
    <w:p>
      <w:pPr>
        <w:spacing w:line="400" w:lineRule="exact"/>
        <w:ind w:firstLine="420" w:firstLineChars="200"/>
      </w:pPr>
      <w:r>
        <w:rPr>
          <w:rFonts w:hint="eastAsia"/>
        </w:rPr>
        <w:t xml:space="preserve">2.8.6图纸会审和设计交底时间： </w:t>
      </w:r>
      <w:r>
        <w:rPr>
          <w:rFonts w:hint="eastAsia"/>
          <w:b/>
          <w:u w:val="single"/>
        </w:rPr>
        <w:t>开工前7天。</w:t>
      </w:r>
    </w:p>
    <w:p>
      <w:pPr>
        <w:spacing w:line="400" w:lineRule="exact"/>
        <w:ind w:firstLine="420" w:firstLineChars="200"/>
      </w:pPr>
      <w:r>
        <w:rPr>
          <w:rFonts w:hint="eastAsia"/>
        </w:rPr>
        <w:t>2.8.7</w:t>
      </w:r>
      <w:r>
        <w:rPr>
          <w:rFonts w:hint="eastAsia"/>
          <w:b/>
          <w:u w:val="single"/>
        </w:rPr>
        <w:t>协调处理施工场地周围地下管线和邻近建筑物、构筑物（含文物保护建筑）、古树名木的保护工作。</w:t>
      </w:r>
    </w:p>
    <w:p>
      <w:pPr>
        <w:spacing w:line="400" w:lineRule="exact"/>
        <w:ind w:firstLine="420" w:firstLineChars="200"/>
      </w:pPr>
      <w:r>
        <w:rPr>
          <w:rFonts w:hint="eastAsia"/>
        </w:rPr>
        <w:t xml:space="preserve">2.8.8双方约定发包人应做的其他工作： </w:t>
      </w:r>
      <w:r>
        <w:rPr>
          <w:rFonts w:hint="eastAsia"/>
          <w:b/>
          <w:u w:val="single"/>
        </w:rPr>
        <w:t>协助承包人处理周边关系</w:t>
      </w:r>
      <w:r>
        <w:rPr>
          <w:rFonts w:hint="eastAsia"/>
          <w:b/>
        </w:rPr>
        <w:t>。</w:t>
      </w:r>
    </w:p>
    <w:p>
      <w:pPr>
        <w:spacing w:line="400" w:lineRule="exact"/>
        <w:rPr>
          <w:b/>
        </w:rPr>
      </w:pPr>
      <w:r>
        <w:rPr>
          <w:rFonts w:hint="eastAsia"/>
          <w:b/>
        </w:rPr>
        <w:t>3.  监理人</w:t>
      </w:r>
    </w:p>
    <w:p>
      <w:pPr>
        <w:spacing w:line="400" w:lineRule="exact"/>
        <w:rPr>
          <w:b/>
        </w:rPr>
      </w:pPr>
      <w:r>
        <w:rPr>
          <w:rFonts w:hint="eastAsia"/>
          <w:b/>
        </w:rPr>
        <w:t>3.1  监理人的职责和权力</w:t>
      </w:r>
    </w:p>
    <w:p>
      <w:pPr>
        <w:spacing w:line="400" w:lineRule="exact"/>
        <w:ind w:firstLine="420" w:firstLineChars="200"/>
        <w:rPr>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rPr>
      </w:pPr>
      <w:r>
        <w:rPr>
          <w:rFonts w:hint="eastAsia"/>
          <w:b/>
        </w:rPr>
        <w:t>3.4  监理人的指示</w:t>
      </w:r>
    </w:p>
    <w:p>
      <w:pPr>
        <w:spacing w:line="400" w:lineRule="exact"/>
        <w:ind w:firstLine="422" w:firstLineChars="200"/>
        <w:rPr>
          <w:b/>
        </w:rPr>
      </w:pPr>
      <w:r>
        <w:rPr>
          <w:rFonts w:hint="eastAsia"/>
          <w:b/>
        </w:rPr>
        <w:t>3.4.4  如果发包人认为有必要，可直接向承包人发出指示，并抄送监理人。</w:t>
      </w:r>
    </w:p>
    <w:p>
      <w:pPr>
        <w:spacing w:line="400" w:lineRule="exact"/>
        <w:rPr>
          <w:b/>
        </w:rPr>
      </w:pPr>
      <w:r>
        <w:rPr>
          <w:rFonts w:hint="eastAsia"/>
          <w:b/>
        </w:rPr>
        <w:t>4.  承包人</w:t>
      </w:r>
    </w:p>
    <w:p>
      <w:pPr>
        <w:spacing w:line="400" w:lineRule="exact"/>
        <w:rPr>
          <w:b/>
        </w:rPr>
      </w:pPr>
      <w:r>
        <w:rPr>
          <w:rFonts w:hint="eastAsia"/>
          <w:b/>
        </w:rPr>
        <w:t>4.1  承包人的一般义务</w:t>
      </w:r>
    </w:p>
    <w:p>
      <w:pPr>
        <w:spacing w:line="400" w:lineRule="exact"/>
        <w:ind w:firstLine="411" w:firstLineChars="196"/>
        <w:rPr>
          <w:b/>
        </w:rPr>
      </w:pPr>
      <w:r>
        <w:rPr>
          <w:rFonts w:hint="eastAsia"/>
        </w:rPr>
        <w:t>4.1.8 为他人提供方便</w:t>
      </w:r>
    </w:p>
    <w:p>
      <w:pPr>
        <w:spacing w:line="400" w:lineRule="exact"/>
        <w:ind w:firstLine="411" w:firstLineChars="196"/>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pPr>
        <w:spacing w:line="400" w:lineRule="exact"/>
        <w:ind w:firstLine="411" w:firstLineChars="196"/>
        <w:rPr>
          <w:b/>
        </w:rPr>
      </w:pPr>
      <w:r>
        <w:rPr>
          <w:rFonts w:hint="eastAsia"/>
        </w:rPr>
        <w:t>费用的处理方法：</w:t>
      </w:r>
      <w:r>
        <w:rPr>
          <w:rFonts w:hint="eastAsia"/>
          <w:b/>
          <w:u w:val="single"/>
        </w:rPr>
        <w:t>费用已含在投标报价中，不作调整。</w:t>
      </w:r>
    </w:p>
    <w:p>
      <w:pPr>
        <w:spacing w:line="400" w:lineRule="exact"/>
        <w:ind w:firstLine="411" w:firstLineChars="196"/>
        <w:rPr>
          <w:b/>
        </w:rPr>
      </w:pPr>
      <w:r>
        <w:rPr>
          <w:rFonts w:hint="eastAsia"/>
        </w:rPr>
        <w:t>4.1.10 其他义务</w:t>
      </w:r>
    </w:p>
    <w:p>
      <w:pPr>
        <w:spacing w:line="400" w:lineRule="exact"/>
        <w:ind w:firstLine="413" w:firstLineChars="196"/>
        <w:rPr>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rPr>
      </w:pPr>
      <w:r>
        <w:rPr>
          <w:rFonts w:hint="eastAsia"/>
          <w:b/>
          <w:u w:val="single"/>
        </w:rPr>
        <w:t>（3）根据工程需要，提供施工使用的所有照明、围栏设施，由此所发生的费用由承包人承担。</w:t>
      </w:r>
    </w:p>
    <w:p>
      <w:pPr>
        <w:spacing w:line="400" w:lineRule="exact"/>
        <w:ind w:firstLine="413" w:firstLineChars="196"/>
        <w:rPr>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rPr>
      </w:pPr>
      <w:r>
        <w:rPr>
          <w:rFonts w:hint="eastAsia"/>
          <w:b/>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rPr>
      </w:pPr>
      <w:r>
        <w:rPr>
          <w:rFonts w:hint="eastAsia"/>
          <w:b/>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u w:val="single"/>
        </w:rPr>
      </w:pPr>
      <w:r>
        <w:rPr>
          <w:rFonts w:hint="eastAsia"/>
          <w:b/>
          <w:u w:val="single"/>
        </w:rPr>
        <w:t>（7）负责施工中为满足施工条件采取的各项措施，由此产生的费用由承包人承担。</w:t>
      </w:r>
    </w:p>
    <w:p>
      <w:pPr>
        <w:spacing w:line="400" w:lineRule="exact"/>
        <w:ind w:firstLine="413" w:firstLineChars="196"/>
        <w:rPr>
          <w:b/>
          <w:u w:val="single"/>
        </w:rPr>
      </w:pPr>
      <w:r>
        <w:rPr>
          <w:rFonts w:hint="eastAsia"/>
          <w:b/>
          <w:u w:val="single"/>
        </w:rPr>
        <w:t>（8）施工中应当采取必要措施防止土石方发生垮塌，因承包人措施不到位，垮塌造成的相关费用由承包人承担。</w:t>
      </w:r>
    </w:p>
    <w:p>
      <w:pPr>
        <w:spacing w:line="400" w:lineRule="exact"/>
        <w:ind w:firstLine="413" w:firstLineChars="196"/>
        <w:rPr>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rPr>
      </w:pPr>
      <w:r>
        <w:rPr>
          <w:rFonts w:hint="eastAsia"/>
          <w:b/>
          <w:u w:val="single"/>
        </w:rPr>
        <w:t>（10）承包人应按照监理人审定的施工组织设计进行施工。</w:t>
      </w:r>
    </w:p>
    <w:p>
      <w:pPr>
        <w:spacing w:line="400" w:lineRule="exact"/>
        <w:ind w:firstLine="413" w:firstLineChars="196"/>
        <w:rPr>
          <w:b/>
          <w:u w:val="single"/>
        </w:rPr>
      </w:pPr>
      <w:r>
        <w:rPr>
          <w:rFonts w:hint="eastAsia"/>
          <w:b/>
          <w:u w:val="single"/>
        </w:rPr>
        <w:t>（11）工程款的支付按约定执行，承包人承诺不以未按期支付工程款为借口停工，更不得以此为由聚众闹事。</w:t>
      </w:r>
    </w:p>
    <w:p>
      <w:pPr>
        <w:spacing w:line="400" w:lineRule="exact"/>
        <w:ind w:firstLine="413" w:firstLineChars="196"/>
        <w:rPr>
          <w:b/>
        </w:rPr>
      </w:pPr>
      <w:r>
        <w:rPr>
          <w:rFonts w:hint="eastAsia"/>
          <w:b/>
          <w:u w:val="single"/>
        </w:rPr>
        <w:t>（12）承包人应履行合同约定的其他义务，农民工保证金按相关规定执行。</w:t>
      </w:r>
    </w:p>
    <w:p>
      <w:pPr>
        <w:spacing w:line="400" w:lineRule="exact"/>
        <w:ind w:firstLine="413" w:firstLineChars="196"/>
        <w:rPr>
          <w:b/>
        </w:rPr>
      </w:pPr>
      <w:r>
        <w:rPr>
          <w:rFonts w:hint="eastAsia"/>
          <w:b/>
          <w:u w:val="single"/>
        </w:rPr>
        <w:t>（13）负责施工中所有材料采购、运输、储存保管，且应遵守国家、地方有关规定，并完善相关手续，费用自行承担。</w:t>
      </w:r>
    </w:p>
    <w:p>
      <w:pPr>
        <w:spacing w:line="400" w:lineRule="exact"/>
        <w:ind w:firstLine="413" w:firstLineChars="196"/>
        <w:rPr>
          <w:b/>
        </w:rPr>
      </w:pPr>
      <w:r>
        <w:rPr>
          <w:rFonts w:hint="eastAsia"/>
          <w:b/>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szCs w:val="21"/>
        </w:rPr>
      </w:pPr>
      <w:r>
        <w:rPr>
          <w:rFonts w:hint="eastAsia" w:hAnsi="宋体"/>
          <w:b/>
          <w:szCs w:val="21"/>
        </w:rPr>
        <w:t>（19）承包人应按照国家及当地相关规定严格执行“一金三制”制度（即：农民工工资保证金、农民工工资专户制、农民工实名制、银行代发制）。</w:t>
      </w:r>
    </w:p>
    <w:p>
      <w:pPr>
        <w:spacing w:line="400" w:lineRule="exact"/>
        <w:ind w:firstLine="411" w:firstLineChars="196"/>
        <w:rPr>
          <w:b/>
          <w:u w:val="single"/>
        </w:rPr>
      </w:pPr>
      <w:r>
        <w:rPr>
          <w:rFonts w:hAnsi="宋体"/>
          <w:szCs w:val="21"/>
        </w:rPr>
        <w:t>（</w:t>
      </w:r>
      <w:r>
        <w:rPr>
          <w:rFonts w:hint="eastAsia"/>
          <w:szCs w:val="21"/>
        </w:rPr>
        <w:t>20</w:t>
      </w:r>
      <w:r>
        <w:rPr>
          <w:rFonts w:hAnsi="宋体"/>
          <w:szCs w:val="21"/>
        </w:rPr>
        <w:t>）承包人应履行项目专用合同条款约定的其他义务。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u w:val="single"/>
          <w:lang w:eastAsia="zh-CN"/>
        </w:rPr>
      </w:pPr>
      <w:r>
        <w:rPr>
          <w:rFonts w:hint="eastAsia" w:ascii="宋体" w:hAnsi="宋体" w:eastAsia="宋体" w:cs="宋体"/>
          <w:b/>
          <w:color w:val="auto"/>
          <w:sz w:val="21"/>
          <w:szCs w:val="21"/>
        </w:rPr>
        <w:t>4.2 履约担保</w:t>
      </w:r>
      <w:r>
        <w:rPr>
          <w:rFonts w:hint="eastAsia" w:ascii="宋体" w:hAnsi="宋体" w:eastAsia="宋体" w:cs="宋体"/>
          <w:b/>
          <w:color w:val="auto"/>
          <w:sz w:val="21"/>
          <w:szCs w:val="21"/>
          <w:lang w:eastAsia="zh-CN"/>
        </w:rPr>
        <w:t>及低价风险担保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4.2.1</w:t>
      </w:r>
      <w:r>
        <w:rPr>
          <w:rFonts w:hint="eastAsia" w:ascii="宋体" w:hAnsi="宋体" w:eastAsia="宋体" w:cs="宋体"/>
          <w:color w:val="auto"/>
          <w:sz w:val="21"/>
          <w:szCs w:val="21"/>
        </w:rPr>
        <w:t>承包人是否提供履约担保：</w:t>
      </w:r>
      <w:r>
        <w:rPr>
          <w:rFonts w:hint="eastAsia" w:ascii="宋体" w:hAnsi="宋体" w:eastAsia="宋体" w:cs="宋体"/>
          <w:color w:val="auto"/>
          <w:sz w:val="21"/>
          <w:szCs w:val="21"/>
          <w:u w:val="single"/>
        </w:rPr>
        <w:t>提供</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.2承包人提供履约担保的形式、金额及期限：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履约担保的形式：</w:t>
      </w:r>
      <w:r>
        <w:rPr>
          <w:rFonts w:hint="eastAsia" w:ascii="宋体" w:hAnsi="宋体"/>
          <w:kern w:val="0"/>
          <w:szCs w:val="21"/>
          <w:u w:val="single"/>
        </w:rPr>
        <w:t>现金或</w:t>
      </w:r>
      <w:r>
        <w:rPr>
          <w:rFonts w:hint="eastAsia" w:ascii="宋体" w:hAnsi="宋体"/>
          <w:kern w:val="0"/>
          <w:szCs w:val="21"/>
          <w:u w:val="single"/>
          <w:lang w:val="en-US" w:eastAsia="zh-CN"/>
        </w:rPr>
        <w:t>履约</w:t>
      </w:r>
      <w:r>
        <w:rPr>
          <w:rFonts w:hint="eastAsia" w:ascii="宋体" w:hAnsi="宋体"/>
          <w:kern w:val="0"/>
          <w:szCs w:val="21"/>
          <w:u w:val="single"/>
        </w:rPr>
        <w:t>保函或现金+</w:t>
      </w:r>
      <w:r>
        <w:rPr>
          <w:rFonts w:hint="eastAsia" w:ascii="宋体" w:hAnsi="宋体"/>
          <w:kern w:val="0"/>
          <w:szCs w:val="21"/>
          <w:u w:val="single"/>
          <w:lang w:val="en-US" w:eastAsia="zh-CN"/>
        </w:rPr>
        <w:t>履约</w:t>
      </w:r>
      <w:r>
        <w:rPr>
          <w:rFonts w:hint="eastAsia" w:ascii="宋体" w:hAnsi="宋体"/>
          <w:kern w:val="0"/>
          <w:szCs w:val="21"/>
          <w:u w:val="single"/>
        </w:rPr>
        <w:t>保函的组合</w:t>
      </w:r>
      <w:r>
        <w:rPr>
          <w:rFonts w:hint="eastAsia" w:ascii="宋体" w:hAnsi="宋体"/>
          <w:kern w:val="0"/>
          <w:szCs w:val="21"/>
          <w:u w:val="single"/>
          <w:lang w:eastAsia="zh-CN"/>
        </w:rPr>
        <w:t>，履约</w:t>
      </w:r>
      <w:r>
        <w:rPr>
          <w:rFonts w:hint="eastAsia" w:ascii="宋体" w:hAnsi="宋体"/>
          <w:kern w:val="0"/>
          <w:szCs w:val="21"/>
          <w:u w:val="single"/>
        </w:rPr>
        <w:t>保函包括银行保函、保证保险和担保保函</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（2）履约担保的金额：</w:t>
      </w:r>
      <w:r>
        <w:rPr>
          <w:rFonts w:hint="eastAsia" w:ascii="宋体" w:hAnsi="宋体" w:eastAsia="宋体" w:cs="宋体"/>
          <w:color w:val="auto"/>
          <w:sz w:val="21"/>
          <w:szCs w:val="21"/>
          <w:u w:val="single"/>
        </w:rPr>
        <w:t xml:space="preserve">    （签约合同价的</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rPr>
        <w:t>%）即    万元</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（3）履约担保的提交时间：</w:t>
      </w:r>
      <w:r>
        <w:rPr>
          <w:rFonts w:hint="eastAsia" w:ascii="宋体" w:hAnsi="宋体" w:eastAsia="宋体" w:cs="宋体"/>
          <w:color w:val="auto"/>
          <w:sz w:val="21"/>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（4）履约担保的期限：</w:t>
      </w:r>
      <w:r>
        <w:rPr>
          <w:rFonts w:hint="eastAsia" w:ascii="宋体" w:hAnsi="宋体" w:eastAsia="宋体" w:cs="宋体"/>
          <w:color w:val="auto"/>
          <w:sz w:val="21"/>
          <w:szCs w:val="21"/>
          <w:u w:val="single"/>
        </w:rPr>
        <w:t>自提交履约担保之日起至竣工验收合格之日止</w:t>
      </w:r>
      <w:r>
        <w:rPr>
          <w:rFonts w:hint="eastAsia" w:ascii="宋体" w:hAnsi="宋体" w:eastAsia="宋体" w:cs="宋体"/>
          <w:color w:val="auto"/>
          <w:sz w:val="21"/>
          <w:szCs w:val="21"/>
        </w:rPr>
        <w:t>。</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（5）履约担保的退还时间：</w:t>
      </w:r>
      <w:r>
        <w:rPr>
          <w:rFonts w:hint="eastAsia" w:ascii="宋体" w:hAnsi="宋体" w:eastAsia="宋体" w:cs="宋体"/>
          <w:color w:val="auto"/>
          <w:sz w:val="21"/>
          <w:szCs w:val="21"/>
          <w:u w:val="single"/>
          <w:lang w:val="en-US" w:eastAsia="zh-CN"/>
        </w:rPr>
        <w:t>竣工验收合格后一个月内一次性退还</w:t>
      </w:r>
      <w:r>
        <w:rPr>
          <w:rFonts w:hint="eastAsia" w:ascii="宋体" w:hAnsi="宋体" w:eastAsia="宋体" w:cs="宋体"/>
          <w:color w:val="auto"/>
          <w:sz w:val="21"/>
          <w:szCs w:val="21"/>
          <w:u w:val="single"/>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w:t>
      </w:r>
      <w:r>
        <w:rPr>
          <w:rFonts w:hint="eastAsia" w:ascii="宋体" w:hAnsi="宋体" w:eastAsia="宋体" w:cs="宋体"/>
          <w:color w:val="auto"/>
          <w:kern w:val="0"/>
          <w:sz w:val="21"/>
          <w:szCs w:val="21"/>
          <w:lang w:val="en-US" w:eastAsia="zh-CN"/>
        </w:rPr>
        <w:t>低价风险担保：中标价低于最高限价的85%时提供，如不按时足额提供，视为中标人放弃中标，发包人有权不退还其投标保证金。</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4.2.2.1中标人提供低价风险担保的形式、金额及期限：</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（2）低价风险担保的金额：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（3）低价风险担保的提交时间：中标候选人公示期结束后10个工作日内（施工合同签订前），中标人按担保金额向招标人提交低价风险担保；</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（4）中标人因自身原因未按中标通知书规定的时限与招标人签订合同的，招标人有权扣除其低价风险担保并取消中标资格。</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（5）低价风险担保的期限：自提交低价风险担保之日起至项目竣工验收合格之日止。</w:t>
      </w:r>
    </w:p>
    <w:p>
      <w:pPr>
        <w:pStyle w:val="3"/>
        <w:keepNext w:val="0"/>
        <w:keepLines w:val="0"/>
        <w:pageBreakBefore w:val="0"/>
        <w:kinsoku/>
        <w:wordWrap/>
        <w:overflowPunct/>
        <w:topLinePunct w:val="0"/>
        <w:autoSpaceDE/>
        <w:autoSpaceDN/>
        <w:bidi w:val="0"/>
        <w:snapToGrid/>
        <w:spacing w:after="0"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（6）低价风险担保的退还时间：工程竣工验收合格后14日内无息退还。</w:t>
      </w:r>
    </w:p>
    <w:p>
      <w:pPr>
        <w:spacing w:line="400" w:lineRule="exact"/>
        <w:rPr>
          <w:b/>
        </w:rPr>
      </w:pPr>
      <w:r>
        <w:rPr>
          <w:rFonts w:hint="eastAsia"/>
          <w:b/>
        </w:rPr>
        <w:t>4.3 分包</w:t>
      </w:r>
    </w:p>
    <w:p>
      <w:pPr>
        <w:spacing w:line="400" w:lineRule="exact"/>
        <w:ind w:firstLine="411" w:firstLineChars="196"/>
        <w:rPr>
          <w:b/>
        </w:rPr>
      </w:pPr>
      <w:r>
        <w:rPr>
          <w:rFonts w:hint="eastAsia"/>
        </w:rPr>
        <w:t>4.3.2分包的内容</w:t>
      </w:r>
    </w:p>
    <w:p>
      <w:pPr>
        <w:spacing w:line="400" w:lineRule="exact"/>
        <w:ind w:firstLine="411" w:firstLineChars="196"/>
        <w:rPr>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color w:val="000000" w:themeColor="text1"/>
          <w:szCs w:val="21"/>
          <w:u w:val="single"/>
          <w14:textFill>
            <w14:solidFill>
              <w14:schemeClr w14:val="tx1"/>
            </w14:solidFill>
          </w14:textFill>
        </w:rPr>
        <w:t>本工程</w:t>
      </w:r>
      <w:r>
        <w:rPr>
          <w:rFonts w:hint="eastAsia"/>
          <w:b/>
          <w:color w:val="000000" w:themeColor="text1"/>
          <w:u w:val="single"/>
          <w14:textFill>
            <w14:solidFill>
              <w14:schemeClr w14:val="tx1"/>
            </w14:solidFill>
          </w14:textFill>
        </w:rPr>
        <w:t>不允许转包</w:t>
      </w:r>
      <w:r>
        <w:rPr>
          <w:rFonts w:hint="eastAsia"/>
          <w:b/>
          <w:color w:val="000000" w:themeColor="text1"/>
          <w:u w:val="single"/>
          <w:lang w:eastAsia="zh-CN"/>
          <w14:textFill>
            <w14:solidFill>
              <w14:schemeClr w14:val="tx1"/>
            </w14:solidFill>
          </w14:textFill>
        </w:rPr>
        <w:t>、</w:t>
      </w:r>
      <w:r>
        <w:rPr>
          <w:rFonts w:hint="eastAsia"/>
          <w:b/>
          <w:color w:val="000000" w:themeColor="text1"/>
          <w:u w:val="single"/>
          <w:lang w:val="en-US" w:eastAsia="zh-CN"/>
          <w14:textFill>
            <w14:solidFill>
              <w14:schemeClr w14:val="tx1"/>
            </w14:solidFill>
          </w14:textFill>
        </w:rPr>
        <w:t>分包</w:t>
      </w:r>
      <w:r>
        <w:rPr>
          <w:rFonts w:hint="eastAsia"/>
          <w:b/>
          <w:color w:val="000000" w:themeColor="text1"/>
          <w:u w:val="single"/>
          <w14:textFill>
            <w14:solidFill>
              <w14:schemeClr w14:val="tx1"/>
            </w14:solidFill>
          </w14:textFill>
        </w:rPr>
        <w:t>。</w:t>
      </w:r>
    </w:p>
    <w:p>
      <w:pPr>
        <w:spacing w:line="400" w:lineRule="exact"/>
        <w:rPr>
          <w:b/>
        </w:rPr>
      </w:pPr>
      <w:bookmarkStart w:id="476" w:name="_Toc26622"/>
      <w:bookmarkStart w:id="477" w:name="_Toc418077881"/>
      <w:bookmarkStart w:id="478" w:name="_Toc13208"/>
      <w:r>
        <w:rPr>
          <w:rFonts w:hint="eastAsia"/>
          <w:b/>
        </w:rPr>
        <w:t>4. 5 承包人项目经理</w:t>
      </w:r>
      <w:bookmarkEnd w:id="476"/>
      <w:bookmarkEnd w:id="477"/>
      <w:r>
        <w:rPr>
          <w:rFonts w:hint="eastAsia"/>
          <w:b/>
        </w:rPr>
        <w:t xml:space="preserve">   </w:t>
      </w:r>
      <w:bookmarkEnd w:id="478"/>
    </w:p>
    <w:p>
      <w:pPr>
        <w:spacing w:line="400" w:lineRule="exact"/>
        <w:ind w:firstLine="480"/>
        <w:jc w:val="left"/>
      </w:pPr>
      <w:bookmarkStart w:id="479" w:name="_Toc19197"/>
      <w:bookmarkStart w:id="480" w:name="_Toc327347168"/>
      <w:bookmarkStart w:id="481" w:name="_Toc224103411"/>
      <w:bookmarkStart w:id="482" w:name="_Toc266027434"/>
      <w:bookmarkStart w:id="483" w:name="_Toc5889"/>
      <w:bookmarkStart w:id="484" w:name="_Toc359579051"/>
      <w:bookmarkStart w:id="485" w:name="_Toc418077882"/>
      <w:r>
        <w:rPr>
          <w:rFonts w:hint="eastAsia"/>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rPr>
      </w:pPr>
      <w:r>
        <w:rPr>
          <w:rFonts w:hint="eastAsia"/>
          <w:b/>
        </w:rPr>
        <w:t>4.11  不利物质条件</w:t>
      </w:r>
      <w:bookmarkEnd w:id="479"/>
      <w:bookmarkEnd w:id="480"/>
      <w:bookmarkEnd w:id="481"/>
      <w:bookmarkEnd w:id="482"/>
      <w:bookmarkEnd w:id="483"/>
      <w:bookmarkEnd w:id="484"/>
      <w:bookmarkEnd w:id="485"/>
    </w:p>
    <w:p>
      <w:pPr>
        <w:spacing w:line="400" w:lineRule="exact"/>
        <w:ind w:firstLine="420" w:firstLineChars="200"/>
      </w:pPr>
      <w:r>
        <w:rPr>
          <w:rFonts w:hint="eastAsia"/>
        </w:rPr>
        <w:t>4.11.1  不利物质条件的范围：</w:t>
      </w:r>
      <w:r>
        <w:rPr>
          <w:rFonts w:hint="eastAsia"/>
          <w:b/>
          <w:u w:val="single"/>
        </w:rPr>
        <w:t xml:space="preserve">按通用条款执行。 </w:t>
      </w:r>
    </w:p>
    <w:p>
      <w:pPr>
        <w:spacing w:line="400" w:lineRule="exact"/>
        <w:rPr>
          <w:b/>
        </w:rPr>
      </w:pPr>
      <w:r>
        <w:rPr>
          <w:rFonts w:hint="eastAsia"/>
          <w:b/>
        </w:rPr>
        <w:t>5.  材料和工程设备</w:t>
      </w:r>
    </w:p>
    <w:p>
      <w:pPr>
        <w:spacing w:line="400" w:lineRule="exact"/>
        <w:rPr>
          <w:b/>
        </w:rPr>
      </w:pPr>
      <w:r>
        <w:rPr>
          <w:rFonts w:hint="eastAsia"/>
          <w:b/>
        </w:rPr>
        <w:t>5.1  承包人提供的材料和工程设备</w:t>
      </w:r>
    </w:p>
    <w:p>
      <w:pPr>
        <w:spacing w:line="400" w:lineRule="exact"/>
        <w:ind w:firstLine="480"/>
        <w:jc w:val="left"/>
        <w:rPr>
          <w:rFonts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pPr>
        <w:spacing w:line="400" w:lineRule="exact"/>
        <w:ind w:firstLine="480"/>
        <w:jc w:val="left"/>
        <w:rPr>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u w:val="single"/>
        </w:rPr>
      </w:pPr>
      <w:r>
        <w:rPr>
          <w:rFonts w:hint="eastAsia"/>
        </w:rPr>
        <w:t xml:space="preserve">5.1.3 </w:t>
      </w:r>
      <w:r>
        <w:rPr>
          <w:rFonts w:hint="eastAsia" w:ascii="宋体" w:hAnsi="宋体"/>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rPr>
      </w:pPr>
      <w:r>
        <w:rPr>
          <w:rFonts w:hint="eastAsia"/>
          <w:b/>
        </w:rPr>
        <w:t>5.2  发包人提供的材料和工程设备</w:t>
      </w:r>
    </w:p>
    <w:p>
      <w:pPr>
        <w:spacing w:line="400" w:lineRule="exact"/>
        <w:ind w:firstLine="420" w:firstLineChars="200"/>
      </w:pPr>
      <w:r>
        <w:rPr>
          <w:rFonts w:hint="eastAsia"/>
        </w:rPr>
        <w:t xml:space="preserve">5.2.1 材料的名称、规格、数量和价格： </w:t>
      </w:r>
      <w:r>
        <w:rPr>
          <w:rFonts w:hint="eastAsia"/>
          <w:b/>
          <w:u w:val="single"/>
        </w:rPr>
        <w:t xml:space="preserve">无。 </w:t>
      </w:r>
    </w:p>
    <w:p>
      <w:pPr>
        <w:spacing w:line="400" w:lineRule="exact"/>
        <w:ind w:firstLine="420" w:firstLineChars="200"/>
      </w:pPr>
      <w:r>
        <w:rPr>
          <w:rFonts w:hint="eastAsia"/>
        </w:rPr>
        <w:t>材料的交货方式、地点和日期：</w:t>
      </w:r>
      <w:r>
        <w:rPr>
          <w:rFonts w:hint="eastAsia"/>
          <w:b/>
          <w:u w:val="single"/>
        </w:rPr>
        <w:t>无。</w:t>
      </w:r>
    </w:p>
    <w:p>
      <w:pPr>
        <w:spacing w:line="400" w:lineRule="exact"/>
        <w:ind w:firstLine="420" w:firstLineChars="200"/>
      </w:pPr>
      <w:r>
        <w:rPr>
          <w:rFonts w:hint="eastAsia"/>
        </w:rPr>
        <w:t>工程设备的名称、规格、数量和价格：</w:t>
      </w:r>
      <w:r>
        <w:rPr>
          <w:rFonts w:hint="eastAsia"/>
          <w:b/>
          <w:u w:val="single"/>
        </w:rPr>
        <w:t>无</w:t>
      </w:r>
      <w:r>
        <w:rPr>
          <w:rFonts w:hint="eastAsia"/>
        </w:rPr>
        <w:t>。</w:t>
      </w:r>
    </w:p>
    <w:p>
      <w:pPr>
        <w:spacing w:line="400" w:lineRule="exact"/>
        <w:ind w:firstLine="420" w:firstLineChars="200"/>
      </w:pPr>
      <w:r>
        <w:rPr>
          <w:rFonts w:hint="eastAsia"/>
        </w:rPr>
        <w:t>工程设备的交货方式、地点和日期：</w:t>
      </w:r>
      <w:r>
        <w:rPr>
          <w:rFonts w:hint="eastAsia"/>
          <w:b/>
          <w:u w:val="single"/>
        </w:rPr>
        <w:t>无。</w:t>
      </w:r>
    </w:p>
    <w:p>
      <w:pPr>
        <w:spacing w:line="400" w:lineRule="exact"/>
        <w:ind w:firstLine="420" w:firstLineChars="200"/>
      </w:pPr>
      <w:r>
        <w:rPr>
          <w:rFonts w:hint="eastAsia"/>
        </w:rPr>
        <w:t>5.2.3材料和工程设备的接收、运输与保管：</w:t>
      </w:r>
      <w:r>
        <w:rPr>
          <w:rFonts w:hint="eastAsia"/>
          <w:b/>
          <w:u w:val="single"/>
        </w:rPr>
        <w:t>无。</w:t>
      </w:r>
    </w:p>
    <w:p>
      <w:pPr>
        <w:spacing w:line="400" w:lineRule="exact"/>
        <w:rPr>
          <w:b/>
        </w:rPr>
      </w:pPr>
      <w:r>
        <w:rPr>
          <w:rFonts w:hint="eastAsia"/>
          <w:b/>
        </w:rPr>
        <w:t>6.  施工设备和临时设施</w:t>
      </w:r>
    </w:p>
    <w:p>
      <w:pPr>
        <w:spacing w:line="400" w:lineRule="exact"/>
        <w:ind w:firstLine="422" w:firstLineChars="200"/>
        <w:rPr>
          <w:b/>
        </w:rPr>
      </w:pPr>
      <w:r>
        <w:rPr>
          <w:rFonts w:hint="eastAsia"/>
          <w:b/>
        </w:rPr>
        <w:t>6.1  承包人提供的施工设备和临时设施</w:t>
      </w:r>
    </w:p>
    <w:p>
      <w:pPr>
        <w:spacing w:line="400" w:lineRule="exact"/>
        <w:ind w:firstLine="420" w:firstLineChars="200"/>
        <w:rPr>
          <w:b/>
          <w:u w:val="single"/>
        </w:rPr>
      </w:pPr>
      <w:r>
        <w:rPr>
          <w:rFonts w:hint="eastAsia"/>
        </w:rPr>
        <w:t xml:space="preserve">6.1.2 承包人承担修建临时设施费用的范围： </w:t>
      </w:r>
      <w:r>
        <w:rPr>
          <w:rFonts w:hint="eastAsia"/>
          <w:b/>
          <w:u w:val="single"/>
        </w:rPr>
        <w:t>临时设施均由承包人负责修建，费用承包人承担。</w:t>
      </w:r>
    </w:p>
    <w:p>
      <w:pPr>
        <w:spacing w:line="400" w:lineRule="exact"/>
        <w:ind w:firstLine="420" w:firstLineChars="200"/>
        <w:rPr>
          <w:b/>
          <w:u w:val="single"/>
        </w:rPr>
      </w:pPr>
      <w:r>
        <w:rPr>
          <w:rFonts w:hint="eastAsia"/>
        </w:rPr>
        <w:t>临时占地的申请及费用：</w:t>
      </w:r>
      <w:r>
        <w:rPr>
          <w:rFonts w:hint="eastAsia"/>
          <w:b/>
          <w:u w:val="single"/>
        </w:rPr>
        <w:t>由承包人负责申请并承担相应费用</w:t>
      </w:r>
      <w:r>
        <w:rPr>
          <w:rFonts w:hint="eastAsia"/>
        </w:rPr>
        <w:t>。</w:t>
      </w:r>
    </w:p>
    <w:p>
      <w:pPr>
        <w:spacing w:line="400" w:lineRule="exact"/>
        <w:rPr>
          <w:b/>
        </w:rPr>
      </w:pPr>
      <w:r>
        <w:rPr>
          <w:rFonts w:hint="eastAsia"/>
          <w:b/>
        </w:rPr>
        <w:t>6.2  发包人提供的施工设备和临时设施：</w:t>
      </w:r>
      <w:r>
        <w:rPr>
          <w:rFonts w:hint="eastAsia"/>
          <w:b/>
          <w:u w:val="single"/>
        </w:rPr>
        <w:t>无。</w:t>
      </w:r>
    </w:p>
    <w:p>
      <w:pPr>
        <w:spacing w:line="400" w:lineRule="exact"/>
        <w:rPr>
          <w:b/>
        </w:rPr>
      </w:pPr>
      <w:r>
        <w:rPr>
          <w:rFonts w:hint="eastAsia"/>
          <w:b/>
        </w:rPr>
        <w:t>7.  交通运输</w:t>
      </w:r>
    </w:p>
    <w:p>
      <w:pPr>
        <w:spacing w:line="400" w:lineRule="exact"/>
        <w:rPr>
          <w:b/>
        </w:rPr>
      </w:pPr>
      <w:r>
        <w:rPr>
          <w:rFonts w:hint="eastAsia"/>
          <w:b/>
        </w:rPr>
        <w:t>7.1  道路通行权和场外设施</w:t>
      </w:r>
    </w:p>
    <w:p>
      <w:pPr>
        <w:spacing w:line="400" w:lineRule="exact"/>
      </w:pPr>
      <w:r>
        <w:rPr>
          <w:rFonts w:hint="eastAsia"/>
        </w:rPr>
        <w:t xml:space="preserve">    取得道路通行权、修建场外设施权的办理人： </w:t>
      </w:r>
      <w:r>
        <w:rPr>
          <w:rFonts w:hint="eastAsia"/>
          <w:b/>
          <w:u w:val="single"/>
        </w:rPr>
        <w:t>承包人。</w:t>
      </w:r>
    </w:p>
    <w:p>
      <w:pPr>
        <w:spacing w:line="400" w:lineRule="exact"/>
      </w:pPr>
      <w:r>
        <w:rPr>
          <w:rFonts w:hint="eastAsia"/>
        </w:rPr>
        <w:t xml:space="preserve">    相关费用： </w:t>
      </w:r>
      <w:r>
        <w:rPr>
          <w:rFonts w:hint="eastAsia"/>
          <w:b/>
          <w:u w:val="single"/>
        </w:rPr>
        <w:t>由承包人负责，费用由承包人承担。</w:t>
      </w:r>
    </w:p>
    <w:p>
      <w:pPr>
        <w:spacing w:line="400" w:lineRule="exact"/>
        <w:rPr>
          <w:b/>
        </w:rPr>
      </w:pPr>
      <w:r>
        <w:rPr>
          <w:rFonts w:hint="eastAsia"/>
          <w:b/>
        </w:rPr>
        <w:t>7.2  场内施工道路</w:t>
      </w:r>
    </w:p>
    <w:p>
      <w:pPr>
        <w:spacing w:line="400" w:lineRule="exact"/>
        <w:ind w:firstLine="420"/>
      </w:pPr>
      <w:r>
        <w:rPr>
          <w:rFonts w:hint="eastAsia"/>
        </w:rPr>
        <w:t xml:space="preserve">7.2.1  临时道路和交通设施的修建、维护、养护和管理人： </w:t>
      </w:r>
      <w:r>
        <w:rPr>
          <w:rFonts w:hint="eastAsia"/>
          <w:b/>
          <w:u w:val="single"/>
        </w:rPr>
        <w:t>承包人。</w:t>
      </w:r>
    </w:p>
    <w:p>
      <w:pPr>
        <w:spacing w:line="400" w:lineRule="exact"/>
        <w:ind w:firstLine="420"/>
      </w:pPr>
      <w:r>
        <w:rPr>
          <w:rFonts w:hint="eastAsia"/>
        </w:rPr>
        <w:t>7.2.2  临时道路和交通设施的使用权力及费用：</w:t>
      </w:r>
      <w:r>
        <w:rPr>
          <w:rFonts w:hint="eastAsia"/>
          <w:b/>
          <w:u w:val="single"/>
        </w:rPr>
        <w:t>由承包人自行负责。</w:t>
      </w:r>
    </w:p>
    <w:p>
      <w:pPr>
        <w:spacing w:line="400" w:lineRule="exact"/>
        <w:rPr>
          <w:b/>
        </w:rPr>
      </w:pPr>
      <w:r>
        <w:rPr>
          <w:rFonts w:hint="eastAsia"/>
          <w:b/>
        </w:rPr>
        <w:t>7.4  超大件和超重件的运输</w:t>
      </w:r>
    </w:p>
    <w:p>
      <w:pPr>
        <w:spacing w:line="400" w:lineRule="exact"/>
      </w:pPr>
      <w:r>
        <w:rPr>
          <w:rFonts w:hint="eastAsia"/>
        </w:rPr>
        <w:t xml:space="preserve">    道路和桥梁临时加固改造费用和其他有关费用的承担：</w:t>
      </w:r>
      <w:r>
        <w:rPr>
          <w:rFonts w:hint="eastAsia"/>
          <w:b/>
          <w:u w:val="single"/>
        </w:rPr>
        <w:t>由承包人承担。</w:t>
      </w:r>
    </w:p>
    <w:p>
      <w:pPr>
        <w:spacing w:line="400" w:lineRule="exact"/>
        <w:rPr>
          <w:b/>
        </w:rPr>
      </w:pPr>
      <w:r>
        <w:rPr>
          <w:rFonts w:hint="eastAsia"/>
          <w:b/>
        </w:rPr>
        <w:t>8.  测量放线</w:t>
      </w:r>
    </w:p>
    <w:p>
      <w:pPr>
        <w:spacing w:line="400" w:lineRule="exact"/>
        <w:rPr>
          <w:b/>
        </w:rPr>
      </w:pPr>
      <w:r>
        <w:rPr>
          <w:rFonts w:hint="eastAsia"/>
          <w:b/>
        </w:rPr>
        <w:t>8.1  施工控制网</w:t>
      </w:r>
    </w:p>
    <w:p>
      <w:pPr>
        <w:spacing w:line="400" w:lineRule="exact"/>
      </w:pPr>
      <w:r>
        <w:rPr>
          <w:rFonts w:hint="eastAsia"/>
        </w:rPr>
        <w:t xml:space="preserve">    8.1.1  发包人提供测量基准点、基准线和水准点的期限：</w:t>
      </w:r>
      <w:r>
        <w:rPr>
          <w:rFonts w:hint="eastAsia"/>
          <w:u w:val="single"/>
        </w:rPr>
        <w:t xml:space="preserve">  开工前7天    </w:t>
      </w:r>
      <w:r>
        <w:rPr>
          <w:rFonts w:hint="eastAsia"/>
        </w:rPr>
        <w:t>。</w:t>
      </w:r>
    </w:p>
    <w:p>
      <w:pPr>
        <w:spacing w:line="400" w:lineRule="exact"/>
      </w:pPr>
      <w:r>
        <w:rPr>
          <w:rFonts w:hint="eastAsia"/>
        </w:rPr>
        <w:t xml:space="preserve">    施工控制网的测设： </w:t>
      </w:r>
      <w:r>
        <w:rPr>
          <w:rFonts w:hint="eastAsia"/>
          <w:b/>
          <w:u w:val="single"/>
        </w:rPr>
        <w:t xml:space="preserve">   由承包人负责    </w:t>
      </w:r>
      <w:r>
        <w:rPr>
          <w:rFonts w:hint="eastAsia"/>
        </w:rPr>
        <w:t xml:space="preserve">。 </w:t>
      </w:r>
    </w:p>
    <w:p>
      <w:pPr>
        <w:spacing w:line="400" w:lineRule="exact"/>
      </w:pPr>
      <w:r>
        <w:rPr>
          <w:rFonts w:hint="eastAsia"/>
        </w:rPr>
        <w:t xml:space="preserve">    报监理人审批施工控制网资料的期限：</w:t>
      </w:r>
      <w:r>
        <w:rPr>
          <w:rFonts w:hint="eastAsia"/>
          <w:b/>
          <w:u w:val="single"/>
        </w:rPr>
        <w:t xml:space="preserve">   </w:t>
      </w:r>
      <w:r>
        <w:rPr>
          <w:rFonts w:hint="eastAsia"/>
          <w:u w:val="single"/>
        </w:rPr>
        <w:t>开工前7天</w:t>
      </w:r>
      <w:r>
        <w:rPr>
          <w:rFonts w:hint="eastAsia"/>
          <w:b/>
          <w:u w:val="single"/>
        </w:rPr>
        <w:t xml:space="preserve">  </w:t>
      </w:r>
      <w:r>
        <w:rPr>
          <w:rFonts w:hint="eastAsia"/>
          <w:b/>
        </w:rPr>
        <w:t>。</w:t>
      </w:r>
    </w:p>
    <w:p>
      <w:pPr>
        <w:spacing w:line="400" w:lineRule="exact"/>
        <w:rPr>
          <w:b/>
        </w:rPr>
      </w:pPr>
      <w:r>
        <w:rPr>
          <w:rFonts w:hint="eastAsia"/>
          <w:b/>
        </w:rPr>
        <w:t>9.  施工安全、治安保卫和环境保护</w:t>
      </w:r>
    </w:p>
    <w:p>
      <w:pPr>
        <w:spacing w:line="400" w:lineRule="exact"/>
        <w:rPr>
          <w:b/>
        </w:rPr>
      </w:pPr>
      <w:r>
        <w:rPr>
          <w:rFonts w:hint="eastAsia"/>
          <w:b/>
        </w:rPr>
        <w:t>9.2  承包人的施工安全责任</w:t>
      </w:r>
    </w:p>
    <w:p>
      <w:pPr>
        <w:spacing w:line="400" w:lineRule="exact"/>
        <w:ind w:firstLine="420" w:firstLineChars="200"/>
        <w:rPr>
          <w:b/>
          <w:u w:val="single"/>
        </w:rPr>
      </w:pPr>
      <w:r>
        <w:rPr>
          <w:rFonts w:hint="eastAsia"/>
        </w:rPr>
        <w:t xml:space="preserve">9.2.1报监理人审批的施工安全措施计划期限： </w:t>
      </w:r>
      <w:r>
        <w:rPr>
          <w:rFonts w:hint="eastAsia"/>
          <w:b/>
          <w:u w:val="single"/>
        </w:rPr>
        <w:t xml:space="preserve"> </w:t>
      </w:r>
      <w:r>
        <w:rPr>
          <w:rFonts w:hint="eastAsia"/>
          <w:u w:val="single"/>
        </w:rPr>
        <w:t>开工前7天</w:t>
      </w:r>
      <w:r>
        <w:rPr>
          <w:rFonts w:hint="eastAsia"/>
          <w:b/>
          <w:u w:val="single"/>
        </w:rPr>
        <w:t xml:space="preserve">  。</w:t>
      </w:r>
    </w:p>
    <w:p>
      <w:pPr>
        <w:spacing w:line="400" w:lineRule="exact"/>
        <w:ind w:firstLine="420" w:firstLineChars="200"/>
        <w:rPr>
          <w:b/>
          <w:u w:val="single"/>
        </w:rPr>
      </w:pPr>
      <w:r>
        <w:rPr>
          <w:rFonts w:hint="eastAsia"/>
        </w:rPr>
        <w:t>监理人收到承包人报送的施工安全措施计划后应当在</w:t>
      </w:r>
      <w:r>
        <w:rPr>
          <w:rFonts w:hint="eastAsia"/>
          <w:u w:val="single"/>
        </w:rPr>
        <w:t>　</w:t>
      </w:r>
      <w:r>
        <w:rPr>
          <w:rFonts w:hint="eastAsia"/>
          <w:b/>
          <w:u w:val="single"/>
        </w:rPr>
        <w:t xml:space="preserve">7 </w:t>
      </w:r>
      <w:r>
        <w:rPr>
          <w:rFonts w:hint="eastAsia"/>
          <w:u w:val="single"/>
        </w:rPr>
        <w:t xml:space="preserve"> </w:t>
      </w:r>
      <w:r>
        <w:rPr>
          <w:rFonts w:hint="eastAsia"/>
        </w:rPr>
        <w:t>天内给予批复。</w:t>
      </w:r>
    </w:p>
    <w:p>
      <w:pPr>
        <w:spacing w:line="400" w:lineRule="exact"/>
        <w:rPr>
          <w:b/>
        </w:rPr>
      </w:pPr>
      <w:r>
        <w:rPr>
          <w:rFonts w:hint="eastAsia"/>
          <w:b/>
        </w:rPr>
        <w:t>9.3  治安保卫</w:t>
      </w:r>
    </w:p>
    <w:p>
      <w:pPr>
        <w:spacing w:line="400" w:lineRule="exact"/>
        <w:ind w:firstLine="420" w:firstLineChars="200"/>
        <w:rPr>
          <w:rFonts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w:t>
      </w:r>
      <w:r>
        <w:rPr>
          <w:rFonts w:hint="eastAsia" w:ascii="宋体" w:hAnsi="宋体" w:cs="宋体"/>
          <w:szCs w:val="21"/>
        </w:rPr>
        <w:t>承担。</w:t>
      </w:r>
    </w:p>
    <w:p>
      <w:pPr>
        <w:spacing w:line="400" w:lineRule="exact"/>
        <w:ind w:firstLine="420" w:firstLineChars="200"/>
      </w:pPr>
      <w:r>
        <w:rPr>
          <w:rFonts w:hint="eastAsia"/>
        </w:rPr>
        <w:t>9.3.3  施工场地治安管理计划和突发治安事件紧急预案的编制责任人：</w:t>
      </w:r>
      <w:r>
        <w:rPr>
          <w:rFonts w:hint="eastAsia"/>
          <w:u w:val="single"/>
        </w:rPr>
        <w:t xml:space="preserve"> </w:t>
      </w:r>
      <w:r>
        <w:rPr>
          <w:rFonts w:hint="eastAsia"/>
          <w:b/>
          <w:u w:val="single"/>
        </w:rPr>
        <w:t xml:space="preserve">承包人 </w:t>
      </w:r>
      <w:r>
        <w:rPr>
          <w:rFonts w:hint="eastAsia"/>
          <w:b/>
        </w:rPr>
        <w:t>。</w:t>
      </w:r>
    </w:p>
    <w:p>
      <w:pPr>
        <w:spacing w:line="400" w:lineRule="exact"/>
        <w:rPr>
          <w:b/>
        </w:rPr>
      </w:pPr>
      <w:r>
        <w:rPr>
          <w:rFonts w:hint="eastAsia"/>
          <w:b/>
        </w:rPr>
        <w:t>9.4  环境保护</w:t>
      </w:r>
    </w:p>
    <w:p>
      <w:pPr>
        <w:adjustRightInd w:val="0"/>
        <w:snapToGrid w:val="0"/>
        <w:spacing w:line="400" w:lineRule="exact"/>
        <w:ind w:firstLine="420" w:firstLineChars="200"/>
        <w:rPr>
          <w:rFonts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ascii="宋体" w:hAnsi="宋体" w:cs="宋体"/>
          <w:b/>
          <w:szCs w:val="21"/>
          <w:u w:val="single"/>
        </w:rPr>
        <w:t xml:space="preserve">  </w:t>
      </w:r>
      <w:r>
        <w:rPr>
          <w:rFonts w:hint="eastAsia"/>
          <w:u w:val="single"/>
        </w:rPr>
        <w:t>开工前7天</w:t>
      </w:r>
      <w:r>
        <w:rPr>
          <w:rFonts w:hint="eastAsia" w:ascii="宋体" w:hAnsi="宋体" w:cs="宋体"/>
          <w:b/>
          <w:szCs w:val="21"/>
          <w:u w:val="single"/>
        </w:rPr>
        <w:t>　</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7   </w:t>
      </w:r>
      <w:r>
        <w:rPr>
          <w:rFonts w:hint="eastAsia" w:ascii="宋体" w:hAnsi="宋体" w:cs="宋体"/>
          <w:szCs w:val="21"/>
        </w:rPr>
        <w:t>天内给予批复。</w:t>
      </w:r>
    </w:p>
    <w:p>
      <w:pPr>
        <w:spacing w:line="400" w:lineRule="exact"/>
        <w:rPr>
          <w:b/>
        </w:rPr>
      </w:pPr>
      <w:r>
        <w:rPr>
          <w:rFonts w:hint="eastAsia"/>
          <w:b/>
        </w:rPr>
        <w:t>10.  进度计划</w:t>
      </w:r>
    </w:p>
    <w:p>
      <w:pPr>
        <w:spacing w:line="400" w:lineRule="exact"/>
        <w:rPr>
          <w:b/>
        </w:rPr>
      </w:pPr>
      <w:r>
        <w:rPr>
          <w:rFonts w:hint="eastAsia"/>
          <w:b/>
        </w:rPr>
        <w:t>10.1  合同进度计划</w:t>
      </w:r>
    </w:p>
    <w:p>
      <w:pPr>
        <w:spacing w:line="400" w:lineRule="exact"/>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pPr>
        <w:spacing w:line="400" w:lineRule="exact"/>
        <w:ind w:firstLine="420" w:firstLineChars="200"/>
        <w:rPr>
          <w:rFonts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szCs w:val="21"/>
          <w:u w:val="single"/>
        </w:rPr>
      </w:pP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监理人批复或对施工进度计划和施工方案说明提出修改意见的期限：</w:t>
      </w:r>
      <w:r>
        <w:rPr>
          <w:rFonts w:hint="eastAsia" w:ascii="宋体" w:hAnsi="宋体" w:cs="宋体"/>
          <w:b/>
          <w:szCs w:val="21"/>
          <w:u w:val="single"/>
        </w:rPr>
        <w:t>自监理人收到承包人报送的相关进度计划和施工方案说明后7天内。</w:t>
      </w:r>
    </w:p>
    <w:p>
      <w:pPr>
        <w:spacing w:line="400" w:lineRule="exact"/>
        <w:rPr>
          <w:b/>
        </w:rPr>
      </w:pPr>
      <w:r>
        <w:rPr>
          <w:rFonts w:hint="eastAsia"/>
          <w:b/>
        </w:rPr>
        <w:t>11.  开工和竣工</w:t>
      </w:r>
    </w:p>
    <w:p>
      <w:pPr>
        <w:spacing w:line="400" w:lineRule="exact"/>
        <w:rPr>
          <w:b/>
        </w:rPr>
      </w:pPr>
      <w:r>
        <w:rPr>
          <w:rFonts w:hint="eastAsia"/>
          <w:b/>
        </w:rPr>
        <w:t>11.4  异常恶劣的气候条件</w:t>
      </w:r>
    </w:p>
    <w:p>
      <w:pPr>
        <w:spacing w:line="400" w:lineRule="exact"/>
        <w:ind w:firstLine="420" w:firstLineChars="200"/>
      </w:pPr>
      <w:r>
        <w:rPr>
          <w:rFonts w:hint="eastAsia"/>
        </w:rPr>
        <w:t>异常恶劣的气候条件的范围：</w:t>
      </w:r>
      <w:r>
        <w:rPr>
          <w:rFonts w:hint="eastAsia"/>
          <w:b/>
          <w:u w:val="single"/>
        </w:rPr>
        <w:t xml:space="preserve">  按重庆市气象部门公布的50年一遇的自然灾害（如台风、雪灾、洪水等） 。</w:t>
      </w:r>
    </w:p>
    <w:p>
      <w:pPr>
        <w:spacing w:line="400" w:lineRule="exact"/>
        <w:rPr>
          <w:b/>
        </w:rPr>
      </w:pPr>
      <w:r>
        <w:rPr>
          <w:rFonts w:hint="eastAsia"/>
          <w:b/>
        </w:rPr>
        <w:t>11.5  承包人的工期延误</w:t>
      </w:r>
    </w:p>
    <w:p>
      <w:pPr>
        <w:spacing w:line="400" w:lineRule="exact"/>
        <w:ind w:firstLine="420" w:firstLineChars="20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pPr>
      <w:r>
        <w:rPr>
          <w:rFonts w:hint="eastAsia"/>
        </w:rPr>
        <w:t>逾期竣工违约金的计算方法：</w:t>
      </w:r>
      <w:r>
        <w:rPr>
          <w:rFonts w:hint="eastAsia"/>
          <w:u w:val="single"/>
        </w:rPr>
        <w:t>按500元/天</w:t>
      </w:r>
      <w:r>
        <w:rPr>
          <w:rFonts w:hint="eastAsia"/>
          <w:u w:val="single"/>
          <w:lang w:eastAsia="zh-CN"/>
        </w:rPr>
        <w:t>计</w:t>
      </w:r>
      <w:r>
        <w:rPr>
          <w:rFonts w:hint="eastAsia"/>
          <w:u w:val="single"/>
        </w:rPr>
        <w:t>违约金</w:t>
      </w:r>
      <w:r>
        <w:rPr>
          <w:rFonts w:hint="eastAsia"/>
        </w:rPr>
        <w:t>。</w:t>
      </w:r>
    </w:p>
    <w:p>
      <w:pPr>
        <w:spacing w:line="400" w:lineRule="exact"/>
        <w:ind w:firstLine="420" w:firstLineChars="200"/>
      </w:pPr>
      <w:r>
        <w:rPr>
          <w:rFonts w:hint="eastAsia"/>
        </w:rPr>
        <w:t>逾期竣工违约金的最高限额：</w:t>
      </w:r>
      <w:r>
        <w:rPr>
          <w:rFonts w:hint="eastAsia" w:ascii="宋体" w:hAnsi="宋体"/>
          <w:u w:val="single"/>
        </w:rPr>
        <w:t xml:space="preserve">  签约合同价的3% </w:t>
      </w:r>
      <w:r>
        <w:rPr>
          <w:rFonts w:hint="eastAsia"/>
          <w:u w:val="single"/>
        </w:rPr>
        <w:t xml:space="preserve"> </w:t>
      </w:r>
      <w:r>
        <w:rPr>
          <w:rFonts w:hint="eastAsia"/>
        </w:rPr>
        <w:t>。</w:t>
      </w:r>
    </w:p>
    <w:p>
      <w:pPr>
        <w:spacing w:line="400" w:lineRule="exact"/>
        <w:rPr>
          <w:b/>
        </w:rPr>
      </w:pPr>
      <w:r>
        <w:rPr>
          <w:rFonts w:hint="eastAsia"/>
          <w:b/>
        </w:rPr>
        <w:t>11.6  工期提前</w:t>
      </w:r>
    </w:p>
    <w:p>
      <w:pPr>
        <w:spacing w:line="400" w:lineRule="exact"/>
        <w:ind w:firstLine="420" w:firstLineChars="200"/>
        <w:rPr>
          <w:rFonts w:hint="default"/>
          <w:b/>
          <w:lang w:val="en-US"/>
        </w:rPr>
      </w:pPr>
      <w:r>
        <w:rPr>
          <w:rFonts w:hint="eastAsia"/>
        </w:rPr>
        <w:t>提前竣工的奖励办法</w:t>
      </w:r>
      <w:r>
        <w:rPr>
          <w:rFonts w:hint="eastAsia"/>
          <w:lang w:eastAsia="zh-CN"/>
        </w:rPr>
        <w:t>：</w:t>
      </w:r>
      <w:r>
        <w:rPr>
          <w:rFonts w:hint="eastAsia"/>
          <w:lang w:val="en-US" w:eastAsia="zh-CN"/>
        </w:rPr>
        <w:t>/</w:t>
      </w:r>
    </w:p>
    <w:p>
      <w:pPr>
        <w:spacing w:line="400" w:lineRule="exact"/>
        <w:rPr>
          <w:b/>
        </w:rPr>
      </w:pPr>
      <w:r>
        <w:rPr>
          <w:rFonts w:hint="eastAsia"/>
          <w:b/>
        </w:rPr>
        <w:t>12．暂停施工</w:t>
      </w:r>
    </w:p>
    <w:p>
      <w:pPr>
        <w:spacing w:line="400" w:lineRule="exact"/>
        <w:ind w:firstLine="420" w:firstLineChars="200"/>
      </w:pPr>
      <w:r>
        <w:rPr>
          <w:rFonts w:hint="eastAsia"/>
        </w:rPr>
        <w:t>12.1 承包人暂停施工的责任：</w:t>
      </w:r>
      <w:r>
        <w:rPr>
          <w:rFonts w:hint="eastAsia"/>
          <w:b/>
          <w:u w:val="single"/>
        </w:rPr>
        <w:t xml:space="preserve"> 非发包人的原因由承包人负责。</w:t>
      </w:r>
    </w:p>
    <w:p>
      <w:pPr>
        <w:spacing w:line="400" w:lineRule="exact"/>
        <w:rPr>
          <w:b/>
        </w:rPr>
      </w:pPr>
      <w:r>
        <w:rPr>
          <w:rFonts w:hint="eastAsia"/>
          <w:b/>
        </w:rPr>
        <w:t>13．工程质量</w:t>
      </w:r>
    </w:p>
    <w:p>
      <w:pPr>
        <w:spacing w:line="400" w:lineRule="exact"/>
        <w:rPr>
          <w:b/>
        </w:rPr>
      </w:pPr>
      <w:r>
        <w:rPr>
          <w:rFonts w:hint="eastAsia"/>
          <w:b/>
        </w:rPr>
        <w:t>13.2 承包人的质量检查</w:t>
      </w:r>
    </w:p>
    <w:p>
      <w:pPr>
        <w:spacing w:line="400" w:lineRule="exact"/>
        <w:ind w:firstLine="411" w:firstLineChars="196"/>
        <w:rPr>
          <w:b/>
          <w:u w:val="single"/>
        </w:rPr>
      </w:pPr>
      <w:r>
        <w:rPr>
          <w:rFonts w:hint="eastAsia" w:ascii="宋体" w:hAnsi="宋体" w:cs="宋体"/>
          <w:szCs w:val="21"/>
        </w:rPr>
        <w:t>承包人提交工程质量保证措施文件的期限：</w:t>
      </w:r>
      <w:r>
        <w:rPr>
          <w:rFonts w:hint="eastAsia"/>
          <w:b/>
          <w:u w:val="single"/>
        </w:rPr>
        <w:t xml:space="preserve">  开工前7天</w:t>
      </w:r>
      <w:r>
        <w:rPr>
          <w:rFonts w:hint="eastAsia"/>
          <w:b/>
        </w:rPr>
        <w:t>。</w:t>
      </w:r>
    </w:p>
    <w:p>
      <w:pPr>
        <w:spacing w:line="400" w:lineRule="exact"/>
        <w:ind w:firstLine="411" w:firstLineChars="196"/>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pPr>
        <w:spacing w:line="400" w:lineRule="exact"/>
        <w:rPr>
          <w:b/>
        </w:rPr>
      </w:pPr>
      <w:r>
        <w:rPr>
          <w:rFonts w:hint="eastAsia"/>
          <w:b/>
        </w:rPr>
        <w:t>13.5 工程隐蔽部位覆盖前的检查</w:t>
      </w:r>
    </w:p>
    <w:p>
      <w:pPr>
        <w:spacing w:line="400" w:lineRule="exact"/>
        <w:ind w:firstLine="420" w:firstLineChars="200"/>
        <w:rPr>
          <w:rFonts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工程部位隐蔽前24小时以书面形式通知发包人和监理人验收。</w:t>
      </w:r>
    </w:p>
    <w:p>
      <w:pPr>
        <w:spacing w:line="400" w:lineRule="exact"/>
        <w:rPr>
          <w:b/>
        </w:rPr>
      </w:pPr>
      <w:r>
        <w:rPr>
          <w:rFonts w:hint="eastAsia"/>
          <w:b/>
        </w:rPr>
        <w:t>15.  变更</w:t>
      </w:r>
    </w:p>
    <w:p>
      <w:pPr>
        <w:spacing w:line="400" w:lineRule="exact"/>
        <w:ind w:firstLine="420" w:firstLineChars="200"/>
      </w:pPr>
      <w:r>
        <w:rPr>
          <w:rFonts w:hint="eastAsia"/>
        </w:rPr>
        <w:t>所有工程变更等现场签证的确定只有经发包人审批同意后才能生效。</w:t>
      </w:r>
    </w:p>
    <w:p>
      <w:pPr>
        <w:spacing w:line="400" w:lineRule="exact"/>
        <w:ind w:firstLine="420" w:firstLineChars="200"/>
      </w:pPr>
      <w:r>
        <w:rPr>
          <w:rFonts w:hint="eastAsia"/>
        </w:rPr>
        <w:t>15.1 变更的范围和内容：</w:t>
      </w:r>
      <w:r>
        <w:rPr>
          <w:rFonts w:hint="eastAsia"/>
          <w:b/>
          <w:u w:val="single"/>
        </w:rPr>
        <w:t>变更的范围和内容以发包人认可为准。</w:t>
      </w:r>
    </w:p>
    <w:p>
      <w:pPr>
        <w:spacing w:line="400" w:lineRule="exact"/>
        <w:rPr>
          <w:b/>
        </w:rPr>
      </w:pPr>
      <w:r>
        <w:rPr>
          <w:rFonts w:hint="eastAsia"/>
          <w:b/>
        </w:rPr>
        <w:t>15.3  变更程序</w:t>
      </w:r>
    </w:p>
    <w:p>
      <w:pPr>
        <w:spacing w:line="400" w:lineRule="exact"/>
        <w:rPr>
          <w:b/>
        </w:rPr>
      </w:pPr>
      <w:r>
        <w:rPr>
          <w:rFonts w:hint="eastAsia"/>
          <w:b/>
        </w:rPr>
        <w:t>15.3.2  变更估价</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监理人商定或确定变更价格的期限：</w:t>
      </w:r>
      <w:r>
        <w:rPr>
          <w:rFonts w:hint="eastAsia" w:ascii="宋体" w:hAnsi="宋体" w:cs="宋体"/>
          <w:szCs w:val="21"/>
          <w:u w:val="single"/>
        </w:rPr>
        <w:t xml:space="preserve">  7天  </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b/>
        </w:rPr>
        <w:t>15.4变更的估价原则</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eastAsia="宋体"/>
          <w:szCs w:val="22"/>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2018年《重庆市市政工程计价定额》、《重庆市通用安装工程计价定额》、《重庆市建设工程费用定额》及其配套文件计算后，再按承包人报价浮动率[承包人报价浮动率=（1-中标价/投标总报价最高限价）×100%]进行下浮后结算[其中：人工工日单价按照2023年第一季度渝西片区人工信息价计算；材料价格参照2023年第5期《重庆工程造价信息》公布的铜梁地区材料价格并结合当地近期市场价格进行调整，材料价格为不含税价格；下浮基数不含安全文明施工费、认质核价的材料费、规费、税金]</w:t>
      </w:r>
    </w:p>
    <w:p>
      <w:pPr>
        <w:adjustRightInd w:val="0"/>
        <w:snapToGrid w:val="0"/>
        <w:spacing w:line="400" w:lineRule="exact"/>
        <w:rPr>
          <w:b/>
        </w:rPr>
      </w:pPr>
      <w:r>
        <w:rPr>
          <w:rFonts w:hint="eastAsia"/>
          <w:b/>
        </w:rPr>
        <w:t>15.5  承包人的合理化建议</w:t>
      </w:r>
    </w:p>
    <w:p>
      <w:pPr>
        <w:adjustRightInd w:val="0"/>
        <w:snapToGrid w:val="0"/>
        <w:spacing w:line="400" w:lineRule="exact"/>
        <w:rPr>
          <w:b/>
          <w:u w:val="single"/>
        </w:rPr>
      </w:pPr>
      <w:r>
        <w:rPr>
          <w:rFonts w:hint="eastAsia"/>
        </w:rPr>
        <w:t>对承包人提出合理化建议的奖励方法：</w:t>
      </w:r>
      <w:r>
        <w:rPr>
          <w:rFonts w:hint="eastAsia"/>
          <w:b/>
          <w:u w:val="single"/>
        </w:rPr>
        <w:t>无。</w:t>
      </w:r>
    </w:p>
    <w:p>
      <w:pPr>
        <w:adjustRightInd w:val="0"/>
        <w:snapToGrid w:val="0"/>
        <w:spacing w:line="400" w:lineRule="exact"/>
        <w:rPr>
          <w:b/>
          <w:u w:val="single"/>
        </w:rPr>
      </w:pPr>
      <w:r>
        <w:rPr>
          <w:rFonts w:hint="eastAsia"/>
        </w:rPr>
        <w:t>15.6暂列金额</w:t>
      </w:r>
      <w:r>
        <w:rPr>
          <w:rFonts w:hint="eastAsia"/>
          <w:b/>
        </w:rPr>
        <w:t xml:space="preserve">： </w:t>
      </w:r>
      <w:r>
        <w:rPr>
          <w:rFonts w:hint="eastAsia"/>
          <w:b/>
          <w:u w:val="single"/>
        </w:rPr>
        <w:t xml:space="preserve"> /  </w:t>
      </w:r>
      <w:r>
        <w:rPr>
          <w:rFonts w:hint="eastAsia"/>
          <w:bCs/>
          <w:u w:val="single"/>
        </w:rPr>
        <w:t xml:space="preserve"> 元 。</w:t>
      </w:r>
    </w:p>
    <w:p>
      <w:pPr>
        <w:adjustRightInd w:val="0"/>
        <w:snapToGrid w:val="0"/>
        <w:spacing w:line="400" w:lineRule="exact"/>
      </w:pPr>
      <w:r>
        <w:rPr>
          <w:rFonts w:hint="eastAsia"/>
        </w:rPr>
        <w:t>15.8</w:t>
      </w:r>
      <w:r>
        <w:rPr>
          <w:rFonts w:hint="eastAsia" w:ascii="宋体" w:hAnsi="宋体"/>
        </w:rPr>
        <w:t>暂估价：</w:t>
      </w:r>
      <w:r>
        <w:rPr>
          <w:rFonts w:hint="eastAsia"/>
          <w:b/>
          <w:u w:val="single"/>
        </w:rPr>
        <w:t xml:space="preserve"> </w:t>
      </w:r>
      <w:r>
        <w:rPr>
          <w:rFonts w:hint="eastAsia"/>
          <w:u w:val="single"/>
        </w:rPr>
        <w:t xml:space="preserve"> </w:t>
      </w:r>
      <w:r>
        <w:rPr>
          <w:rFonts w:hint="eastAsia" w:ascii="宋体" w:hAnsi="宋体"/>
          <w:b/>
          <w:u w:val="single"/>
        </w:rPr>
        <w:t>﹨</w:t>
      </w:r>
      <w:r>
        <w:rPr>
          <w:rFonts w:hint="eastAsia"/>
          <w:u w:val="single"/>
        </w:rPr>
        <w:t xml:space="preserve">  元</w:t>
      </w:r>
      <w:r>
        <w:rPr>
          <w:rFonts w:hint="eastAsia"/>
          <w:bCs/>
          <w:u w:val="single"/>
        </w:rPr>
        <w:t>。</w:t>
      </w:r>
      <w:r>
        <w:rPr>
          <w:rFonts w:hint="eastAsia" w:ascii="宋体" w:hAnsi="宋体"/>
          <w:b/>
          <w:bCs/>
          <w:u w:val="single"/>
        </w:rPr>
        <w:t xml:space="preserve"> </w:t>
      </w:r>
      <w:r>
        <w:rPr>
          <w:rFonts w:hint="eastAsia"/>
        </w:rPr>
        <w:t xml:space="preserve">    </w:t>
      </w:r>
      <w:bookmarkStart w:id="486" w:name="_Toc327347204"/>
      <w:bookmarkStart w:id="487" w:name="_Toc30841"/>
      <w:bookmarkStart w:id="488" w:name="_Toc14052"/>
      <w:bookmarkStart w:id="489" w:name="_Toc418077916"/>
      <w:bookmarkStart w:id="490" w:name="_Toc359579086"/>
      <w:bookmarkStart w:id="491" w:name="_Toc266027467"/>
      <w:bookmarkStart w:id="492" w:name="_Toc224103443"/>
    </w:p>
    <w:p>
      <w:pPr>
        <w:adjustRightInd w:val="0"/>
        <w:snapToGrid w:val="0"/>
        <w:spacing w:line="400" w:lineRule="exact"/>
        <w:rPr>
          <w:b/>
        </w:rPr>
      </w:pPr>
      <w:r>
        <w:rPr>
          <w:rFonts w:hint="eastAsia"/>
          <w:b/>
        </w:rPr>
        <w:t>16.  价格调整</w:t>
      </w:r>
      <w:bookmarkEnd w:id="486"/>
      <w:bookmarkEnd w:id="487"/>
      <w:bookmarkEnd w:id="488"/>
      <w:bookmarkEnd w:id="489"/>
      <w:bookmarkEnd w:id="490"/>
      <w:bookmarkEnd w:id="491"/>
      <w:bookmarkEnd w:id="492"/>
      <w:bookmarkStart w:id="493" w:name="_Toc327347205"/>
      <w:bookmarkStart w:id="494" w:name="_Toc224103444"/>
      <w:bookmarkStart w:id="495" w:name="_Toc418077917"/>
      <w:bookmarkStart w:id="496" w:name="_Toc266027468"/>
      <w:bookmarkStart w:id="497" w:name="_Toc24307"/>
      <w:bookmarkStart w:id="498" w:name="_Toc8602"/>
      <w:bookmarkStart w:id="499" w:name="_Toc359579087"/>
    </w:p>
    <w:p>
      <w:pPr>
        <w:adjustRightInd w:val="0"/>
        <w:snapToGrid w:val="0"/>
        <w:spacing w:line="400" w:lineRule="exact"/>
        <w:rPr>
          <w:b/>
        </w:rPr>
      </w:pPr>
      <w:r>
        <w:rPr>
          <w:rFonts w:hint="eastAsia"/>
          <w:b/>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rPr>
      </w:pPr>
      <w:r>
        <w:rPr>
          <w:rFonts w:hint="eastAsia"/>
        </w:rPr>
        <w:t>物价波动引起的价格调整方法：</w:t>
      </w:r>
      <w:r>
        <w:rPr>
          <w:rFonts w:hint="eastAsia"/>
          <w:b/>
          <w:u w:val="single"/>
        </w:rPr>
        <w:t xml:space="preserve">   不调整   </w:t>
      </w:r>
      <w:r>
        <w:rPr>
          <w:rFonts w:hint="eastAsia"/>
          <w:b/>
        </w:rPr>
        <w:t>。</w:t>
      </w:r>
    </w:p>
    <w:p>
      <w:pPr>
        <w:adjustRightInd w:val="0"/>
        <w:snapToGrid w:val="0"/>
        <w:spacing w:line="400" w:lineRule="exact"/>
        <w:rPr>
          <w:b/>
        </w:rPr>
      </w:pPr>
      <w:r>
        <w:rPr>
          <w:rFonts w:hint="eastAsia"/>
          <w:b/>
        </w:rPr>
        <w:t>17.2 预付款</w:t>
      </w:r>
    </w:p>
    <w:p>
      <w:pPr>
        <w:adjustRightInd w:val="0"/>
        <w:snapToGrid w:val="0"/>
        <w:spacing w:line="400" w:lineRule="exact"/>
      </w:pPr>
      <w:r>
        <w:rPr>
          <w:rFonts w:hint="eastAsia"/>
        </w:rPr>
        <w:t>17.2.1 预付款</w:t>
      </w:r>
    </w:p>
    <w:p>
      <w:pPr>
        <w:adjustRightInd w:val="0"/>
        <w:snapToGrid w:val="0"/>
        <w:spacing w:line="400" w:lineRule="exact"/>
        <w:rPr>
          <w:b/>
          <w:u w:val="single"/>
        </w:rPr>
      </w:pPr>
      <w:r>
        <w:rPr>
          <w:rFonts w:hint="eastAsia"/>
        </w:rPr>
        <w:t xml:space="preserve">    预付款额度和预付方法：</w:t>
      </w:r>
      <w:r>
        <w:rPr>
          <w:rFonts w:hint="eastAsia"/>
          <w:b/>
          <w:u w:val="single"/>
        </w:rPr>
        <w:t xml:space="preserve">  无。</w:t>
      </w:r>
    </w:p>
    <w:p>
      <w:pPr>
        <w:adjustRightInd w:val="0"/>
        <w:snapToGrid w:val="0"/>
        <w:spacing w:line="400" w:lineRule="exact"/>
      </w:pPr>
      <w:r>
        <w:rPr>
          <w:rFonts w:hint="eastAsia"/>
        </w:rPr>
        <w:t>17.2.2 预付款保函</w:t>
      </w:r>
    </w:p>
    <w:p>
      <w:pPr>
        <w:adjustRightInd w:val="0"/>
        <w:snapToGrid w:val="0"/>
        <w:spacing w:line="400" w:lineRule="exact"/>
        <w:rPr>
          <w:b/>
        </w:rPr>
      </w:pPr>
      <w:r>
        <w:rPr>
          <w:rFonts w:hint="eastAsia"/>
        </w:rPr>
        <w:t xml:space="preserve">    预付款保函的提交时间：</w:t>
      </w:r>
      <w:r>
        <w:rPr>
          <w:rFonts w:hint="eastAsia"/>
          <w:b/>
          <w:u w:val="single"/>
        </w:rPr>
        <w:t xml:space="preserve">  无。</w:t>
      </w:r>
    </w:p>
    <w:p>
      <w:pPr>
        <w:spacing w:line="400" w:lineRule="exact"/>
        <w:ind w:firstLine="420" w:firstLineChars="200"/>
        <w:rPr>
          <w:b/>
        </w:rPr>
      </w:pPr>
      <w:r>
        <w:rPr>
          <w:rFonts w:hint="eastAsia"/>
        </w:rPr>
        <w:t>17.2.3 预付款的扣回与还清</w:t>
      </w:r>
    </w:p>
    <w:p>
      <w:pPr>
        <w:spacing w:line="400" w:lineRule="exact"/>
        <w:ind w:firstLine="420" w:firstLineChars="200"/>
        <w:rPr>
          <w:b/>
        </w:rPr>
      </w:pPr>
      <w:r>
        <w:rPr>
          <w:rFonts w:hint="eastAsia"/>
        </w:rPr>
        <w:t>预付款的扣回办法：</w:t>
      </w:r>
      <w:r>
        <w:rPr>
          <w:rFonts w:hint="eastAsia"/>
          <w:b/>
          <w:u w:val="single"/>
        </w:rPr>
        <w:t xml:space="preserve">  无。</w:t>
      </w:r>
    </w:p>
    <w:p>
      <w:pPr>
        <w:spacing w:line="400" w:lineRule="exact"/>
        <w:rPr>
          <w:b/>
        </w:rPr>
      </w:pPr>
      <w:r>
        <w:rPr>
          <w:rFonts w:hint="eastAsia"/>
          <w:b/>
        </w:rPr>
        <w:t>17.3  工程进度付款</w:t>
      </w:r>
    </w:p>
    <w:p>
      <w:pPr>
        <w:spacing w:line="400" w:lineRule="exact"/>
        <w:ind w:firstLine="411" w:firstLineChars="196"/>
      </w:pPr>
      <w:r>
        <w:rPr>
          <w:rFonts w:hint="eastAsia"/>
        </w:rPr>
        <w:t>17.3.3进度付款证书和支付时间：</w:t>
      </w:r>
    </w:p>
    <w:p>
      <w:pPr>
        <w:spacing w:line="400" w:lineRule="exact"/>
        <w:ind w:firstLine="420" w:firstLineChars="200"/>
        <w:rPr>
          <w:rFonts w:hint="eastAsia" w:eastAsia="宋体"/>
          <w:lang w:eastAsia="zh-CN"/>
        </w:rPr>
      </w:pPr>
      <w:r>
        <w:rPr>
          <w:rFonts w:hint="eastAsia"/>
          <w:lang w:eastAsia="zh-CN"/>
        </w:rPr>
        <w:t>竣工验收合格（并完成送审）后支付至合同价款的70%,结算审核完成后支付至审定金额的97%,（其中结算审核总价款的3%留作质保金）。</w:t>
      </w:r>
    </w:p>
    <w:p>
      <w:pPr>
        <w:spacing w:line="400" w:lineRule="exact"/>
        <w:ind w:firstLine="422" w:firstLineChars="200"/>
        <w:rPr>
          <w:b/>
        </w:rPr>
      </w:pPr>
      <w:r>
        <w:rPr>
          <w:rFonts w:hint="eastAsia"/>
          <w:b/>
        </w:rPr>
        <w:t>17.4  质量保证金</w:t>
      </w:r>
    </w:p>
    <w:p>
      <w:pPr>
        <w:spacing w:line="400" w:lineRule="exact"/>
        <w:ind w:firstLine="420" w:firstLineChars="200"/>
      </w:pPr>
      <w:r>
        <w:rPr>
          <w:rFonts w:hint="eastAsia"/>
        </w:rPr>
        <w:t>17.4.1 质量保证金的金额或比例：</w:t>
      </w:r>
      <w:r>
        <w:rPr>
          <w:rFonts w:hint="eastAsia"/>
          <w:b/>
          <w:szCs w:val="22"/>
          <w:u w:val="single"/>
        </w:rPr>
        <w:t>审核</w:t>
      </w:r>
      <w:r>
        <w:rPr>
          <w:rFonts w:hint="eastAsia"/>
          <w:b/>
          <w:szCs w:val="22"/>
          <w:u w:val="single"/>
          <w:lang w:val="en-US" w:eastAsia="zh-CN"/>
        </w:rPr>
        <w:t>总价款</w:t>
      </w:r>
      <w:r>
        <w:rPr>
          <w:rFonts w:hint="eastAsia"/>
          <w:b/>
          <w:szCs w:val="22"/>
          <w:u w:val="single"/>
        </w:rPr>
        <w:t>的3%。</w:t>
      </w:r>
    </w:p>
    <w:p>
      <w:pPr>
        <w:spacing w:line="400" w:lineRule="exact"/>
        <w:rPr>
          <w:b/>
        </w:rPr>
      </w:pPr>
      <w:r>
        <w:rPr>
          <w:rFonts w:hint="eastAsia"/>
          <w:b/>
        </w:rPr>
        <w:t xml:space="preserve">17.5  竣工结算 </w:t>
      </w:r>
    </w:p>
    <w:p>
      <w:pPr>
        <w:spacing w:line="400" w:lineRule="exact"/>
        <w:rPr>
          <w:b/>
        </w:rPr>
      </w:pPr>
      <w:r>
        <w:rPr>
          <w:rFonts w:hint="eastAsia"/>
          <w:b/>
        </w:rPr>
        <w:t>17.5.1  竣工付款申请单</w:t>
      </w:r>
    </w:p>
    <w:p>
      <w:pPr>
        <w:spacing w:line="40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pPr>
        <w:spacing w:line="40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pPr>
        <w:spacing w:line="400" w:lineRule="exact"/>
        <w:rPr>
          <w:b/>
        </w:rPr>
      </w:pPr>
      <w:r>
        <w:rPr>
          <w:rFonts w:hint="eastAsia"/>
          <w:b/>
        </w:rPr>
        <w:t>17.5.3 竣工结算原则：</w:t>
      </w:r>
    </w:p>
    <w:p>
      <w:pPr>
        <w:spacing w:line="400" w:lineRule="exact"/>
        <w:ind w:firstLine="420" w:firstLineChars="200"/>
        <w:rPr>
          <w:rFonts w:ascii="微软雅黑" w:hAnsi="微软雅黑" w:eastAsia="微软雅黑" w:cs="微软雅黑"/>
          <w:sz w:val="20"/>
        </w:rPr>
      </w:pPr>
      <w:bookmarkStart w:id="500" w:name="_Toc224103452"/>
      <w:bookmarkStart w:id="501" w:name="_Toc24412"/>
      <w:bookmarkStart w:id="502" w:name="_Toc327347214"/>
      <w:bookmarkStart w:id="503" w:name="_Toc359579095"/>
      <w:bookmarkStart w:id="504" w:name="_Toc266027476"/>
      <w:bookmarkStart w:id="505" w:name="_Toc18141"/>
      <w:bookmarkStart w:id="506" w:name="_Toc418077924"/>
      <w:r>
        <w:rPr>
          <w:rFonts w:hint="eastAsia" w:ascii="宋体" w:hAnsi="宋体" w:cs="宋体"/>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pPr>
      <w:r>
        <w:rPr>
          <w:rFonts w:hint="eastAsia"/>
        </w:rPr>
        <w:t xml:space="preserve">2.增减（变更）工程结算： </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ascii="宋体" w:hAnsi="宋体" w:eastAsia="宋体" w:cs="宋体"/>
          <w:kern w:val="0"/>
          <w:szCs w:val="21"/>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2018年《重庆市市政工程计价定额》、《重庆市通用安装工程计价定额》、《重庆市建设工程费用定额》及其配套文件计算后，再按承包人报价浮动率[承包人报价浮动率=（1-中标价/投标总报价最高限价）×100%]进行下浮后结算[其中：人工工日单价按照2023年第一季度渝西片区人工信息价计算；材料价格参照2023年第5期《重庆工程造价信息》公布的铜梁地区材料价格并结合当地近期市场价格进行调整，材料价格为不含税价格；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pPr>
      <w:r>
        <w:rPr>
          <w:rFonts w:hint="eastAsia"/>
        </w:rPr>
        <w:t>4.施工技术措施项目清单计价表中以项为单位计列的项目，按投标时的报价作为结算价，包干使用。</w:t>
      </w:r>
    </w:p>
    <w:p>
      <w:pPr>
        <w:spacing w:line="400" w:lineRule="exact"/>
        <w:rPr>
          <w:b/>
        </w:rPr>
      </w:pPr>
      <w:r>
        <w:rPr>
          <w:rFonts w:hint="eastAsia"/>
          <w:b/>
        </w:rPr>
        <w:t>18.  竣工验收</w:t>
      </w:r>
      <w:bookmarkEnd w:id="500"/>
      <w:bookmarkEnd w:id="501"/>
      <w:bookmarkEnd w:id="502"/>
      <w:bookmarkEnd w:id="503"/>
      <w:bookmarkEnd w:id="504"/>
      <w:bookmarkEnd w:id="505"/>
      <w:bookmarkEnd w:id="506"/>
    </w:p>
    <w:p>
      <w:pPr>
        <w:spacing w:line="400" w:lineRule="exact"/>
        <w:rPr>
          <w:b/>
        </w:rPr>
      </w:pPr>
      <w:r>
        <w:rPr>
          <w:rFonts w:hint="eastAsia"/>
          <w:b/>
        </w:rPr>
        <w:t>18.2  竣工验收申请报告</w:t>
      </w:r>
    </w:p>
    <w:p>
      <w:pPr>
        <w:adjustRightInd w:val="0"/>
        <w:snapToGrid w:val="0"/>
        <w:spacing w:line="400" w:lineRule="exact"/>
        <w:rPr>
          <w:rFonts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pPr>
        <w:adjustRightInd w:val="0"/>
        <w:snapToGrid w:val="0"/>
        <w:spacing w:line="400" w:lineRule="exact"/>
        <w:ind w:firstLine="435"/>
        <w:rPr>
          <w:rFonts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pPr>
        <w:spacing w:line="400" w:lineRule="exact"/>
        <w:rPr>
          <w:b/>
        </w:rPr>
      </w:pPr>
      <w:r>
        <w:rPr>
          <w:rFonts w:hint="eastAsia"/>
          <w:b/>
        </w:rPr>
        <w:t>18.3  验收</w:t>
      </w:r>
    </w:p>
    <w:p>
      <w:pPr>
        <w:spacing w:line="400" w:lineRule="exact"/>
        <w:ind w:firstLine="411" w:firstLineChars="196"/>
        <w:rPr>
          <w:b/>
          <w:u w:val="single"/>
        </w:rPr>
      </w:pPr>
      <w:r>
        <w:rPr>
          <w:rFonts w:hint="eastAsia"/>
        </w:rPr>
        <w:t>18.3.5 实际竣工日期：</w:t>
      </w:r>
      <w:r>
        <w:rPr>
          <w:rFonts w:hint="eastAsia"/>
          <w:b/>
        </w:rPr>
        <w:t xml:space="preserve"> </w:t>
      </w:r>
      <w:r>
        <w:rPr>
          <w:rFonts w:hint="eastAsia"/>
          <w:b/>
          <w:u w:val="single"/>
        </w:rPr>
        <w:t>以竣工验收合格之日为准。</w:t>
      </w:r>
    </w:p>
    <w:p>
      <w:pPr>
        <w:spacing w:line="400" w:lineRule="exact"/>
      </w:pPr>
      <w:r>
        <w:rPr>
          <w:rFonts w:hint="eastAsia"/>
          <w:b/>
        </w:rPr>
        <w:t>18.5 施工期运行</w:t>
      </w:r>
    </w:p>
    <w:p>
      <w:pPr>
        <w:spacing w:line="400" w:lineRule="exact"/>
        <w:ind w:firstLine="411" w:firstLineChars="196"/>
      </w:pPr>
      <w:r>
        <w:rPr>
          <w:rFonts w:hint="eastAsia"/>
        </w:rPr>
        <w:t>18.5.1需要施工期运行单位工程或工程设备：</w:t>
      </w:r>
      <w:r>
        <w:rPr>
          <w:rFonts w:hint="eastAsia"/>
          <w:b/>
          <w:u w:val="single"/>
        </w:rPr>
        <w:t xml:space="preserve"> 按监理人要求办理。</w:t>
      </w:r>
    </w:p>
    <w:p>
      <w:pPr>
        <w:spacing w:line="400" w:lineRule="exact"/>
        <w:rPr>
          <w:b/>
        </w:rPr>
      </w:pPr>
      <w:r>
        <w:rPr>
          <w:rFonts w:hint="eastAsia"/>
          <w:b/>
        </w:rPr>
        <w:t>18.6 试运行</w:t>
      </w:r>
    </w:p>
    <w:p>
      <w:pPr>
        <w:spacing w:line="400" w:lineRule="exact"/>
        <w:ind w:firstLine="420" w:firstLineChars="200"/>
        <w:rPr>
          <w:b/>
          <w:u w:val="single"/>
        </w:rPr>
      </w:pPr>
      <w:r>
        <w:rPr>
          <w:rFonts w:hint="eastAsia"/>
        </w:rPr>
        <w:t>18.6.1 试运行的组织及费用承担：</w:t>
      </w:r>
      <w:r>
        <w:rPr>
          <w:rFonts w:hint="eastAsia"/>
          <w:b/>
          <w:u w:val="single"/>
        </w:rPr>
        <w:t xml:space="preserve"> 承包人负责。</w:t>
      </w:r>
    </w:p>
    <w:p>
      <w:pPr>
        <w:spacing w:line="400" w:lineRule="exact"/>
        <w:rPr>
          <w:b/>
        </w:rPr>
      </w:pPr>
      <w:r>
        <w:rPr>
          <w:rFonts w:hint="eastAsia"/>
          <w:b/>
        </w:rPr>
        <w:t>18.7 竣工清场</w:t>
      </w:r>
    </w:p>
    <w:p>
      <w:pPr>
        <w:spacing w:line="400" w:lineRule="exact"/>
        <w:ind w:firstLine="420" w:firstLineChars="200"/>
        <w:rPr>
          <w:b/>
          <w:u w:val="single"/>
        </w:rPr>
      </w:pPr>
      <w:r>
        <w:rPr>
          <w:rFonts w:hint="eastAsia"/>
        </w:rPr>
        <w:t>18.7.1 竣工清场：</w:t>
      </w:r>
      <w:r>
        <w:rPr>
          <w:rFonts w:hint="eastAsia"/>
          <w:b/>
          <w:u w:val="single"/>
        </w:rPr>
        <w:t>由承包人按发包人要求执行。</w:t>
      </w:r>
    </w:p>
    <w:p>
      <w:pPr>
        <w:spacing w:line="400" w:lineRule="exact"/>
        <w:rPr>
          <w:b/>
        </w:rPr>
      </w:pPr>
      <w:r>
        <w:rPr>
          <w:rFonts w:hint="eastAsia"/>
          <w:b/>
        </w:rPr>
        <w:t>18.8 施工队伍的撤离</w:t>
      </w:r>
    </w:p>
    <w:p>
      <w:pPr>
        <w:spacing w:line="400" w:lineRule="exact"/>
        <w:ind w:firstLine="420" w:firstLineChars="200"/>
      </w:pPr>
      <w:r>
        <w:rPr>
          <w:rFonts w:hint="eastAsia"/>
        </w:rPr>
        <w:t>施工人员、施工设备及临时工程撤离的要求：</w:t>
      </w:r>
      <w:r>
        <w:rPr>
          <w:rFonts w:hint="eastAsia"/>
          <w:b/>
          <w:u w:val="single"/>
        </w:rPr>
        <w:t>由承包人按发包人要求执行</w:t>
      </w:r>
      <w:r>
        <w:rPr>
          <w:rFonts w:hint="eastAsia"/>
        </w:rPr>
        <w:t>。</w:t>
      </w:r>
    </w:p>
    <w:p>
      <w:pPr>
        <w:spacing w:line="400" w:lineRule="exact"/>
        <w:rPr>
          <w:b/>
        </w:rPr>
      </w:pPr>
      <w:r>
        <w:rPr>
          <w:rFonts w:hint="eastAsia"/>
          <w:b/>
        </w:rPr>
        <w:t>19.  缺陷责任与保修责任</w:t>
      </w:r>
    </w:p>
    <w:p>
      <w:pPr>
        <w:spacing w:line="400" w:lineRule="exact"/>
        <w:rPr>
          <w:b/>
        </w:rPr>
      </w:pPr>
      <w:r>
        <w:rPr>
          <w:rFonts w:hint="eastAsia"/>
          <w:b/>
        </w:rPr>
        <w:t>19.7  保修责任</w:t>
      </w:r>
    </w:p>
    <w:p>
      <w:pPr>
        <w:spacing w:line="400" w:lineRule="exact"/>
      </w:pPr>
      <w:r>
        <w:rPr>
          <w:rFonts w:hint="eastAsia"/>
        </w:rPr>
        <w:t xml:space="preserve">   工程质量保修范围、期限和责任：</w:t>
      </w:r>
      <w:r>
        <w:rPr>
          <w:rFonts w:hint="eastAsia"/>
          <w:b/>
          <w:u w:val="single"/>
        </w:rPr>
        <w:t xml:space="preserve"> 按附后的《工程质量保修书》执行。</w:t>
      </w:r>
    </w:p>
    <w:p>
      <w:pPr>
        <w:spacing w:line="400" w:lineRule="exact"/>
        <w:rPr>
          <w:b/>
        </w:rPr>
      </w:pPr>
      <w:r>
        <w:rPr>
          <w:rFonts w:hint="eastAsia"/>
          <w:b/>
        </w:rPr>
        <w:t>20.  保险</w:t>
      </w:r>
    </w:p>
    <w:p>
      <w:pPr>
        <w:spacing w:line="400" w:lineRule="exact"/>
        <w:rPr>
          <w:b/>
        </w:rPr>
      </w:pPr>
      <w:r>
        <w:rPr>
          <w:rFonts w:hint="eastAsia"/>
          <w:b/>
        </w:rPr>
        <w:t>20.1工程保险</w:t>
      </w:r>
    </w:p>
    <w:p>
      <w:pPr>
        <w:spacing w:line="400" w:lineRule="exact"/>
        <w:ind w:firstLine="420" w:firstLineChars="200"/>
        <w:rPr>
          <w:b/>
          <w:u w:val="single"/>
        </w:rPr>
      </w:pPr>
      <w:r>
        <w:rPr>
          <w:rFonts w:hint="eastAsia"/>
        </w:rPr>
        <w:t xml:space="preserve">投保人： </w:t>
      </w:r>
      <w:r>
        <w:rPr>
          <w:rFonts w:hint="eastAsia"/>
          <w:b/>
          <w:u w:val="single"/>
        </w:rPr>
        <w:t>承包人以发包人和承包人的共同名义向双方同意的保险人足额投保，费用由承包人负责。</w:t>
      </w:r>
    </w:p>
    <w:p>
      <w:pPr>
        <w:spacing w:line="400" w:lineRule="exact"/>
        <w:ind w:firstLine="420" w:firstLineChars="200"/>
        <w:rPr>
          <w:b/>
          <w:u w:val="single"/>
        </w:rPr>
      </w:pPr>
      <w:r>
        <w:rPr>
          <w:rFonts w:hint="eastAsia"/>
        </w:rPr>
        <w:t xml:space="preserve">投保内容： </w:t>
      </w:r>
      <w:r>
        <w:rPr>
          <w:rFonts w:hint="eastAsia"/>
          <w:b/>
          <w:u w:val="single"/>
        </w:rPr>
        <w:t>按国家相关规定执行。</w:t>
      </w:r>
    </w:p>
    <w:p>
      <w:pPr>
        <w:spacing w:line="400" w:lineRule="exact"/>
        <w:ind w:firstLine="420" w:firstLineChars="200"/>
        <w:rPr>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pPr>
        <w:spacing w:line="400" w:lineRule="exact"/>
        <w:rPr>
          <w:b/>
        </w:rPr>
      </w:pPr>
      <w:r>
        <w:rPr>
          <w:rFonts w:hint="eastAsia"/>
          <w:b/>
        </w:rPr>
        <w:t>20.4 第三责任险</w:t>
      </w:r>
    </w:p>
    <w:p>
      <w:pPr>
        <w:spacing w:line="400" w:lineRule="exact"/>
        <w:ind w:firstLine="420" w:firstLineChars="200"/>
        <w:rPr>
          <w:b/>
          <w:u w:val="single"/>
        </w:rPr>
      </w:pPr>
      <w:r>
        <w:rPr>
          <w:rFonts w:hint="eastAsia"/>
        </w:rPr>
        <w:t>第三者责任险的保险费率：</w:t>
      </w:r>
      <w:r>
        <w:rPr>
          <w:rFonts w:hint="eastAsia"/>
          <w:b/>
          <w:u w:val="single"/>
        </w:rPr>
        <w:t>按相关规定执行。</w:t>
      </w:r>
    </w:p>
    <w:p>
      <w:pPr>
        <w:spacing w:line="400" w:lineRule="exact"/>
        <w:ind w:firstLine="420" w:firstLineChars="200"/>
      </w:pPr>
      <w:r>
        <w:rPr>
          <w:rFonts w:hint="eastAsia"/>
        </w:rPr>
        <w:t>第三者责任险的保险金额：</w:t>
      </w:r>
      <w:r>
        <w:rPr>
          <w:rFonts w:hint="eastAsia"/>
          <w:b/>
          <w:u w:val="single"/>
        </w:rPr>
        <w:t>按相关规定执行</w:t>
      </w:r>
      <w:r>
        <w:rPr>
          <w:rFonts w:hint="eastAsia"/>
        </w:rPr>
        <w:t>。</w:t>
      </w:r>
    </w:p>
    <w:p>
      <w:pPr>
        <w:spacing w:line="400" w:lineRule="exact"/>
        <w:rPr>
          <w:b/>
        </w:rPr>
      </w:pPr>
      <w:r>
        <w:rPr>
          <w:rFonts w:hint="eastAsia"/>
          <w:b/>
        </w:rPr>
        <w:t>20.5 其他保险</w:t>
      </w:r>
    </w:p>
    <w:p>
      <w:pPr>
        <w:spacing w:line="400" w:lineRule="exact"/>
        <w:ind w:firstLine="420" w:firstLineChars="200"/>
        <w:rPr>
          <w:b/>
          <w:u w:val="single"/>
        </w:rPr>
      </w:pPr>
      <w:r>
        <w:rPr>
          <w:rFonts w:hint="eastAsia"/>
        </w:rPr>
        <w:t xml:space="preserve">需要投保其他内容、保险金额、费率及期限等： </w:t>
      </w:r>
      <w:r>
        <w:rPr>
          <w:rFonts w:hint="eastAsia"/>
          <w:b/>
          <w:u w:val="single"/>
        </w:rPr>
        <w:t>由承包人负责。</w:t>
      </w:r>
    </w:p>
    <w:p>
      <w:pPr>
        <w:spacing w:line="400" w:lineRule="exact"/>
        <w:rPr>
          <w:b/>
        </w:rPr>
      </w:pPr>
      <w:r>
        <w:rPr>
          <w:rFonts w:hint="eastAsia"/>
          <w:b/>
        </w:rPr>
        <w:t>20.6  对各项保险的一般要求</w:t>
      </w:r>
    </w:p>
    <w:p>
      <w:pPr>
        <w:spacing w:line="400" w:lineRule="exact"/>
        <w:ind w:firstLine="420" w:firstLineChars="200"/>
      </w:pPr>
      <w:r>
        <w:rPr>
          <w:rFonts w:hint="eastAsia"/>
        </w:rPr>
        <w:t>20.6.1  保险凭证</w:t>
      </w:r>
    </w:p>
    <w:p>
      <w:pPr>
        <w:spacing w:line="400" w:lineRule="exact"/>
        <w:ind w:firstLine="420" w:firstLineChars="200"/>
      </w:pPr>
      <w:r>
        <w:rPr>
          <w:rFonts w:hint="eastAsia"/>
        </w:rPr>
        <w:t>保险条件：</w:t>
      </w:r>
      <w:r>
        <w:rPr>
          <w:rFonts w:hint="eastAsia"/>
          <w:b/>
          <w:u w:val="single"/>
        </w:rPr>
        <w:t>按国家相关规定和发包人要求执行。</w:t>
      </w:r>
    </w:p>
    <w:p>
      <w:pPr>
        <w:spacing w:line="400" w:lineRule="exact"/>
        <w:ind w:firstLine="420" w:firstLineChars="200"/>
      </w:pPr>
      <w:r>
        <w:rPr>
          <w:rFonts w:hint="eastAsia"/>
        </w:rPr>
        <w:t xml:space="preserve">承包人提交保险凭证的期限： </w:t>
      </w:r>
      <w:r>
        <w:rPr>
          <w:rFonts w:hint="eastAsia"/>
          <w:b/>
          <w:u w:val="single"/>
        </w:rPr>
        <w:t>工程开工前。</w:t>
      </w:r>
    </w:p>
    <w:p>
      <w:pPr>
        <w:spacing w:line="400" w:lineRule="exact"/>
        <w:ind w:firstLine="420" w:firstLineChars="200"/>
      </w:pPr>
      <w:r>
        <w:rPr>
          <w:rFonts w:hint="eastAsia"/>
        </w:rPr>
        <w:t>20.6.4  对各项保险的一般要求</w:t>
      </w:r>
    </w:p>
    <w:p>
      <w:pPr>
        <w:spacing w:line="400" w:lineRule="exact"/>
        <w:ind w:firstLine="420" w:firstLineChars="200"/>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rPr>
      </w:pPr>
      <w:r>
        <w:rPr>
          <w:rFonts w:hint="eastAsia"/>
          <w:b/>
        </w:rPr>
        <w:t>21. 不可抗力</w:t>
      </w:r>
    </w:p>
    <w:p>
      <w:pPr>
        <w:spacing w:line="400" w:lineRule="exact"/>
        <w:rPr>
          <w:b/>
        </w:rPr>
      </w:pPr>
      <w:r>
        <w:rPr>
          <w:rFonts w:hint="eastAsia"/>
          <w:b/>
        </w:rPr>
        <w:t>21.1 不可抗力的确认</w:t>
      </w:r>
    </w:p>
    <w:p>
      <w:pPr>
        <w:spacing w:line="400" w:lineRule="exact"/>
        <w:ind w:firstLine="420" w:firstLineChars="200"/>
        <w:rPr>
          <w:b/>
          <w:u w:val="single"/>
        </w:rPr>
      </w:pPr>
      <w:r>
        <w:rPr>
          <w:rFonts w:hint="eastAsia"/>
        </w:rPr>
        <w:t xml:space="preserve">不可抗力的范围： </w:t>
      </w:r>
      <w:r>
        <w:rPr>
          <w:rFonts w:hint="eastAsia"/>
          <w:b/>
          <w:u w:val="single"/>
        </w:rPr>
        <w:t>按通用合同条款。</w:t>
      </w:r>
    </w:p>
    <w:p>
      <w:pPr>
        <w:spacing w:line="400" w:lineRule="exact"/>
        <w:rPr>
          <w:b/>
        </w:rPr>
      </w:pPr>
      <w:r>
        <w:rPr>
          <w:rFonts w:hint="eastAsia"/>
          <w:b/>
        </w:rPr>
        <w:t>21.3 不可抗力后果及其处理</w:t>
      </w:r>
    </w:p>
    <w:p>
      <w:pPr>
        <w:spacing w:line="400" w:lineRule="exact"/>
        <w:ind w:firstLine="420" w:firstLineChars="200"/>
      </w:pPr>
      <w:r>
        <w:rPr>
          <w:rFonts w:hint="eastAsia"/>
        </w:rPr>
        <w:t>21.3.1不可抗力造成损害的责任</w:t>
      </w:r>
    </w:p>
    <w:p>
      <w:pPr>
        <w:spacing w:line="400" w:lineRule="exact"/>
        <w:ind w:firstLine="420" w:firstLineChars="200"/>
      </w:pPr>
      <w:r>
        <w:rPr>
          <w:rFonts w:hint="eastAsia"/>
        </w:rPr>
        <w:t xml:space="preserve">不可抗力导致的人员伤亡、财产损失、费用增加和（或）工期延误，合同双方按以下方法承担： </w:t>
      </w:r>
      <w:r>
        <w:rPr>
          <w:rFonts w:hint="eastAsia"/>
          <w:b/>
          <w:u w:val="single"/>
        </w:rPr>
        <w:t>按通用合同条款执行。</w:t>
      </w:r>
    </w:p>
    <w:p>
      <w:pPr>
        <w:spacing w:line="400" w:lineRule="exact"/>
        <w:rPr>
          <w:b/>
        </w:rPr>
      </w:pPr>
      <w:r>
        <w:rPr>
          <w:rFonts w:hint="eastAsia"/>
          <w:b/>
        </w:rPr>
        <w:t>22. 违约</w:t>
      </w:r>
    </w:p>
    <w:p>
      <w:pPr>
        <w:spacing w:line="400" w:lineRule="exact"/>
        <w:rPr>
          <w:b/>
        </w:rPr>
      </w:pPr>
      <w:r>
        <w:rPr>
          <w:rFonts w:hint="eastAsia"/>
          <w:b/>
        </w:rPr>
        <w:t>22.1承包人违约</w:t>
      </w:r>
    </w:p>
    <w:p>
      <w:pPr>
        <w:spacing w:line="400" w:lineRule="exact"/>
        <w:rPr>
          <w:rFonts w:ascii="宋体" w:hAnsi="宋体" w:cs="宋体"/>
          <w:b/>
          <w:szCs w:val="21"/>
        </w:rPr>
      </w:pPr>
      <w:r>
        <w:rPr>
          <w:rFonts w:hint="eastAsia" w:ascii="宋体" w:hAnsi="宋体" w:cs="宋体"/>
          <w:b/>
          <w:szCs w:val="21"/>
        </w:rPr>
        <w:t>22.1.1 承包人违约的情形</w:t>
      </w:r>
    </w:p>
    <w:p>
      <w:pPr>
        <w:spacing w:line="400" w:lineRule="exact"/>
        <w:ind w:firstLine="413" w:firstLineChars="196"/>
        <w:rPr>
          <w:rFonts w:ascii="宋体" w:hAnsi="宋体" w:cs="宋体"/>
          <w:b/>
          <w:szCs w:val="21"/>
        </w:rPr>
      </w:pPr>
      <w:r>
        <w:rPr>
          <w:rFonts w:hint="eastAsia" w:ascii="宋体" w:hAnsi="宋体" w:cs="宋体"/>
          <w:b/>
          <w:szCs w:val="21"/>
        </w:rPr>
        <w:t>增加下列条款：</w:t>
      </w:r>
    </w:p>
    <w:p>
      <w:pPr>
        <w:spacing w:line="400" w:lineRule="exact"/>
        <w:ind w:firstLine="413" w:firstLineChars="196"/>
        <w:rPr>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rPr>
      </w:pPr>
      <w:r>
        <w:rPr>
          <w:rFonts w:hint="eastAsia"/>
          <w:b/>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rPr>
      </w:pPr>
      <w:r>
        <w:rPr>
          <w:rFonts w:hint="eastAsia"/>
          <w:b/>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u w:val="single"/>
        </w:rPr>
      </w:pPr>
      <w:r>
        <w:rPr>
          <w:rFonts w:hint="eastAsia"/>
          <w:b/>
          <w:u w:val="single"/>
        </w:rPr>
        <w:t>（11）承包人在工程收方中采用欺骗手段或弄虚作假的，每发现一次，发包人有权要求承包人支付5万元</w:t>
      </w:r>
      <w:r>
        <w:rPr>
          <w:rFonts w:hint="eastAsia"/>
          <w:b/>
          <w:u w:val="single"/>
          <w:lang w:eastAsia="zh-CN"/>
        </w:rPr>
        <w:t>－</w:t>
      </w:r>
      <w:r>
        <w:rPr>
          <w:rFonts w:hint="eastAsia"/>
          <w:b/>
          <w:u w:val="single"/>
        </w:rPr>
        <w:t>10万元的违约金。</w:t>
      </w:r>
    </w:p>
    <w:p>
      <w:pPr>
        <w:spacing w:line="400" w:lineRule="exact"/>
        <w:ind w:firstLine="413" w:firstLineChars="196"/>
        <w:rPr>
          <w:b/>
        </w:rPr>
      </w:pPr>
      <w:r>
        <w:rPr>
          <w:rFonts w:hint="eastAsia"/>
          <w:b/>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u w:val="single"/>
        </w:rPr>
      </w:pPr>
      <w:r>
        <w:rPr>
          <w:rFonts w:hint="eastAsia"/>
          <w:b/>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u w:val="single"/>
        </w:rPr>
      </w:pPr>
      <w:r>
        <w:rPr>
          <w:rFonts w:hint="eastAsia"/>
          <w:b/>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u w:val="single"/>
        </w:rPr>
      </w:pPr>
      <w:r>
        <w:rPr>
          <w:rFonts w:hint="eastAsia"/>
          <w:b/>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szCs w:val="22"/>
          <w:u w:val="single"/>
        </w:rPr>
      </w:pPr>
      <w:r>
        <w:rPr>
          <w:rFonts w:hint="eastAsia"/>
          <w:b/>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u w:val="single"/>
        </w:rPr>
      </w:pPr>
      <w:r>
        <w:rPr>
          <w:rFonts w:hint="eastAsia"/>
          <w:b/>
          <w:u w:val="single"/>
        </w:rPr>
        <w:t>（19）若承包人出现以下情形之一，经发包人催告后仍不配合，则视为承包人严重违约，发包人有权解除合同。</w:t>
      </w:r>
    </w:p>
    <w:p>
      <w:pPr>
        <w:spacing w:line="400" w:lineRule="exact"/>
        <w:ind w:firstLine="413" w:firstLineChars="196"/>
        <w:rPr>
          <w:b/>
          <w:u w:val="single"/>
        </w:rPr>
      </w:pPr>
      <w:r>
        <w:rPr>
          <w:rFonts w:hint="eastAsia"/>
          <w:b/>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u w:val="single"/>
        </w:rPr>
      </w:pPr>
      <w:r>
        <w:rPr>
          <w:rFonts w:hint="eastAsia"/>
          <w:b/>
          <w:u w:val="single"/>
        </w:rPr>
        <w:t>b.本工程施工合同签订后7 日内，承包人必须配合发包人办理完成本工程开工前的相关建设手续而未行配合的；</w:t>
      </w:r>
    </w:p>
    <w:p>
      <w:pPr>
        <w:spacing w:line="400" w:lineRule="exact"/>
        <w:ind w:firstLine="413" w:firstLineChars="196"/>
        <w:rPr>
          <w:b/>
          <w:u w:val="single"/>
        </w:rPr>
      </w:pPr>
      <w:r>
        <w:rPr>
          <w:rFonts w:hint="eastAsia"/>
          <w:b/>
          <w:u w:val="single"/>
        </w:rPr>
        <w:t>c.本工程施工合同签订后 7日内，承包人必须按监理人要求向监理人提供相关资料而未行提交的；</w:t>
      </w:r>
    </w:p>
    <w:p>
      <w:pPr>
        <w:spacing w:line="400" w:lineRule="exact"/>
        <w:ind w:firstLine="413" w:firstLineChars="196"/>
        <w:rPr>
          <w:b/>
          <w:u w:val="single"/>
        </w:rPr>
      </w:pPr>
      <w:r>
        <w:rPr>
          <w:rFonts w:hint="eastAsia"/>
          <w:b/>
          <w:u w:val="single"/>
        </w:rPr>
        <w:t>d.本工程开工令下达后，承包人未按监理单位批准的施工组织设计方案正常组织施工的。</w:t>
      </w:r>
    </w:p>
    <w:p>
      <w:pPr>
        <w:spacing w:line="400" w:lineRule="exact"/>
        <w:ind w:firstLine="413" w:firstLineChars="196"/>
        <w:rPr>
          <w:b/>
          <w:u w:val="single"/>
        </w:rPr>
      </w:pPr>
      <w:r>
        <w:rPr>
          <w:rFonts w:hint="eastAsia"/>
          <w:b/>
          <w:u w:val="single"/>
        </w:rPr>
        <w:t>（20）承包人违反上述条款的约定的违法金和损失款，发包人有权直接在工程款中直接扣除。</w:t>
      </w:r>
    </w:p>
    <w:p>
      <w:pPr>
        <w:numPr>
          <w:ilvl w:val="0"/>
          <w:numId w:val="7"/>
        </w:numPr>
        <w:spacing w:line="400" w:lineRule="exact"/>
        <w:rPr>
          <w:b/>
        </w:rPr>
      </w:pPr>
      <w:r>
        <w:rPr>
          <w:rFonts w:hint="eastAsia"/>
          <w:b/>
        </w:rPr>
        <w:t>索赔</w:t>
      </w:r>
    </w:p>
    <w:p>
      <w:pPr>
        <w:spacing w:line="400" w:lineRule="exact"/>
      </w:pPr>
      <w:r>
        <w:rPr>
          <w:rFonts w:hint="eastAsia"/>
          <w:b/>
        </w:rPr>
        <w:t>23.1  承包人索赔的提出</w:t>
      </w:r>
    </w:p>
    <w:p>
      <w:pPr>
        <w:spacing w:line="400" w:lineRule="exact"/>
        <w:ind w:firstLine="420" w:firstLineChars="20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rPr>
      </w:pPr>
      <w:r>
        <w:rPr>
          <w:rFonts w:hint="eastAsia"/>
          <w:b/>
        </w:rPr>
        <w:t>24.  争议的解决</w:t>
      </w:r>
    </w:p>
    <w:p>
      <w:pPr>
        <w:spacing w:line="400" w:lineRule="exact"/>
        <w:rPr>
          <w:b/>
        </w:rPr>
      </w:pPr>
      <w:r>
        <w:rPr>
          <w:rFonts w:hint="eastAsia"/>
          <w:b/>
        </w:rPr>
        <w:t>24.1  争议的解决方式</w:t>
      </w:r>
    </w:p>
    <w:p>
      <w:pPr>
        <w:spacing w:line="400" w:lineRule="exact"/>
        <w:rPr>
          <w:rFonts w:ascii="宋体" w:hAnsi="宋体" w:cs="MingLiUfalt"/>
          <w:snapToGrid w:val="0"/>
          <w:kern w:val="0"/>
          <w:szCs w:val="21"/>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r>
        <w:rPr>
          <w:rFonts w:hint="eastAsia"/>
        </w:rPr>
        <w:t>。</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ind w:firstLine="1680" w:firstLineChars="800"/>
        <w:rPr>
          <w:rFonts w:ascii="宋体" w:hAnsi="宋体"/>
        </w:rPr>
      </w:pPr>
      <w:r>
        <w:rPr>
          <w:rFonts w:hint="eastAsia" w:ascii="宋体" w:hAnsi="宋体" w:cs="宋体"/>
          <w:szCs w:val="21"/>
        </w:rPr>
        <w:t>　年　　月　　日　　　　　　　　　            年　　月　　日</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3"/>
        <w:rPr>
          <w:b/>
          <w:sz w:val="32"/>
          <w:szCs w:val="32"/>
        </w:rPr>
      </w:pPr>
    </w:p>
    <w:p>
      <w:pPr>
        <w:pStyle w:val="4"/>
      </w:pPr>
    </w:p>
    <w:p>
      <w:pPr>
        <w:spacing w:line="360" w:lineRule="auto"/>
      </w:pPr>
    </w:p>
    <w:p>
      <w:pPr>
        <w:rPr>
          <w:rFonts w:hint="eastAsia"/>
        </w:rPr>
      </w:pPr>
      <w:r>
        <w:rPr>
          <w:rFonts w:hint="eastAsia"/>
        </w:rPr>
        <w:br w:type="page"/>
      </w:r>
    </w:p>
    <w:p>
      <w:pPr>
        <w:spacing w:line="360" w:lineRule="auto"/>
      </w:pPr>
      <w:r>
        <w:rPr>
          <w:rFonts w:hint="eastAsia"/>
        </w:rPr>
        <w:t>附件一：工程质量保修书</w:t>
      </w:r>
    </w:p>
    <w:p>
      <w:pPr>
        <w:spacing w:before="120" w:after="120" w:line="340" w:lineRule="exact"/>
        <w:jc w:val="center"/>
        <w:rPr>
          <w:rFonts w:ascii="宋体" w:hAnsi="宋体" w:cs="宋体"/>
          <w:b/>
          <w:sz w:val="32"/>
          <w:szCs w:val="32"/>
        </w:rPr>
      </w:pPr>
      <w:r>
        <w:rPr>
          <w:rFonts w:hint="eastAsia" w:ascii="宋体" w:hAnsi="宋体" w:cs="宋体"/>
          <w:b/>
          <w:sz w:val="32"/>
          <w:szCs w:val="32"/>
        </w:rPr>
        <w:t>工程质量保修书</w:t>
      </w:r>
    </w:p>
    <w:p>
      <w:pPr>
        <w:spacing w:line="340" w:lineRule="exact"/>
        <w:ind w:firstLine="420" w:firstLineChars="200"/>
        <w:rPr>
          <w:rFonts w:ascii="宋体" w:hAnsi="宋体" w:cs="宋体"/>
          <w:u w:val="single"/>
        </w:rPr>
      </w:pPr>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p>
    <w:p>
      <w:pPr>
        <w:spacing w:line="340" w:lineRule="exact"/>
        <w:rPr>
          <w:rFonts w:ascii="宋体" w:hAnsi="宋体" w:cs="宋体"/>
        </w:rPr>
      </w:pPr>
      <w:r>
        <w:rPr>
          <w:rFonts w:hint="eastAsia" w:ascii="宋体" w:hAnsi="宋体" w:cs="宋体"/>
        </w:rPr>
        <w:t>　　承包人（全称）：</w:t>
      </w:r>
      <w:r>
        <w:rPr>
          <w:rFonts w:hint="eastAsia"/>
          <w:b/>
          <w:u w:val="single"/>
        </w:rPr>
        <w:t xml:space="preserve">                                 </w:t>
      </w:r>
      <w:r>
        <w:rPr>
          <w:rFonts w:ascii="宋体" w:hAnsi="宋体" w:cs="宋体"/>
        </w:rPr>
        <w:t xml:space="preserve">                 </w:t>
      </w:r>
    </w:p>
    <w:p>
      <w:pPr>
        <w:spacing w:line="340" w:lineRule="exact"/>
        <w:rPr>
          <w:rFonts w:ascii="宋体" w:hAnsi="宋体" w:cs="宋体"/>
        </w:rPr>
      </w:pPr>
      <w:r>
        <w:rPr>
          <w:rFonts w:hint="eastAsia" w:ascii="宋体" w:hAnsi="宋体" w:cs="宋体"/>
        </w:rPr>
        <w:t>　　发包人和承包人根据《中华人民共和国建筑法》、《建设工程质量管理条例》和《房屋建筑工程质量保修办法》，经协商一致对</w:t>
      </w:r>
      <w:r>
        <w:rPr>
          <w:rFonts w:hint="eastAsia" w:ascii="宋体" w:hAnsi="宋体" w:cs="宋体"/>
          <w:u w:val="single"/>
          <w:lang w:eastAsia="zh-CN"/>
        </w:rPr>
        <w:t>旅游基础设施提档升级（老游客接待中心入口山墙美化)</w:t>
      </w:r>
      <w:r>
        <w:rPr>
          <w:rFonts w:hint="eastAsia" w:ascii="宋体" w:hAnsi="宋体" w:cs="宋体"/>
        </w:rPr>
        <w:t>签订工程质量保修书。</w:t>
      </w:r>
    </w:p>
    <w:p>
      <w:pPr>
        <w:spacing w:line="340" w:lineRule="exact"/>
        <w:rPr>
          <w:rFonts w:ascii="宋体" w:hAnsi="宋体" w:cs="宋体"/>
          <w:b/>
        </w:rPr>
      </w:pPr>
      <w:r>
        <w:rPr>
          <w:rFonts w:hint="eastAsia" w:ascii="宋体" w:hAnsi="宋体" w:cs="宋体"/>
        </w:rPr>
        <w:t>　　</w:t>
      </w:r>
      <w:r>
        <w:rPr>
          <w:rFonts w:hint="eastAsia" w:ascii="宋体" w:hAnsi="宋体" w:cs="宋体"/>
          <w:b/>
        </w:rPr>
        <w:t>一、工程质量保修范围和内容</w:t>
      </w:r>
    </w:p>
    <w:p>
      <w:pPr>
        <w:adjustRightInd w:val="0"/>
        <w:snapToGrid w:val="0"/>
        <w:spacing w:line="340" w:lineRule="exact"/>
        <w:ind w:firstLine="405"/>
        <w:rPr>
          <w:rFonts w:ascii="宋体" w:hAnsi="宋体" w:cs="宋体"/>
        </w:rPr>
      </w:pPr>
      <w:r>
        <w:rPr>
          <w:rFonts w:hint="eastAsia" w:ascii="宋体" w:hAnsi="宋体" w:cs="宋体"/>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kern w:val="0"/>
          <w:szCs w:val="21"/>
          <w:u w:val="single"/>
        </w:rPr>
      </w:pPr>
      <w:r>
        <w:rPr>
          <w:rFonts w:hint="eastAsia" w:ascii="宋体" w:hAnsi="宋体" w:cs="宋体"/>
        </w:rPr>
        <w:t xml:space="preserve">具体保修的内容，双方约定如下： </w:t>
      </w:r>
      <w:r>
        <w:rPr>
          <w:rFonts w:hint="eastAsia" w:ascii="宋体" w:hAnsi="宋体" w:cs="宋体"/>
          <w:u w:val="single"/>
        </w:rPr>
        <w:t>承包人所有施工的内</w:t>
      </w:r>
      <w:r>
        <w:rPr>
          <w:rFonts w:hint="eastAsia" w:ascii="宋体" w:hAnsi="宋体" w:cs="宋体"/>
          <w:kern w:val="0"/>
          <w:szCs w:val="21"/>
          <w:u w:val="single"/>
        </w:rPr>
        <w:t>容均属于保修范围</w:t>
      </w:r>
      <w:r>
        <w:rPr>
          <w:rFonts w:hint="eastAsia" w:ascii="宋体" w:hAnsi="宋体" w:cs="宋体"/>
          <w:u w:val="single"/>
        </w:rPr>
        <w:t>。</w:t>
      </w:r>
    </w:p>
    <w:p>
      <w:pPr>
        <w:spacing w:line="340" w:lineRule="exact"/>
        <w:ind w:firstLine="405"/>
        <w:rPr>
          <w:rFonts w:ascii="宋体" w:hAnsi="宋体" w:cs="宋体"/>
        </w:rPr>
      </w:pPr>
      <w:r>
        <w:rPr>
          <w:rFonts w:hint="eastAsia" w:ascii="宋体" w:hAnsi="宋体" w:cs="宋体"/>
          <w:b/>
        </w:rPr>
        <w:t>二、质量保修期</w:t>
      </w:r>
    </w:p>
    <w:p>
      <w:pPr>
        <w:spacing w:line="34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340" w:lineRule="exact"/>
        <w:ind w:firstLine="420" w:firstLineChars="200"/>
        <w:rPr>
          <w:rFonts w:ascii="宋体" w:hAnsi="宋体" w:cs="宋体"/>
        </w:rPr>
      </w:pPr>
      <w:r>
        <w:rPr>
          <w:rFonts w:ascii="宋体" w:hAnsi="宋体" w:cs="宋体"/>
        </w:rPr>
        <w:t>1</w:t>
      </w:r>
      <w:r>
        <w:rPr>
          <w:rFonts w:hint="eastAsia" w:ascii="宋体" w:hAnsi="宋体" w:cs="宋体"/>
        </w:rPr>
        <w:t>．地基基础工程和主体结构工程为设计文件规定的工程合理使用年限；</w:t>
      </w:r>
    </w:p>
    <w:p>
      <w:pPr>
        <w:spacing w:line="340" w:lineRule="exact"/>
        <w:ind w:firstLine="420" w:firstLineChars="200"/>
        <w:rPr>
          <w:rFonts w:ascii="宋体" w:hAnsi="宋体" w:cs="宋体"/>
        </w:rPr>
      </w:pPr>
      <w:r>
        <w:rPr>
          <w:rFonts w:ascii="宋体" w:hAnsi="宋体" w:cs="宋体"/>
        </w:rPr>
        <w:t>2</w:t>
      </w:r>
      <w:r>
        <w:rPr>
          <w:rFonts w:hint="eastAsia" w:ascii="宋体" w:hAnsi="宋体" w:cs="宋体"/>
        </w:rPr>
        <w:t>．屋面防水工程、有防水要求的卫生间、房间和外墙面的防渗为</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3</w:t>
      </w:r>
      <w:r>
        <w:rPr>
          <w:rFonts w:hint="eastAsia" w:ascii="宋体" w:hAnsi="宋体" w:cs="宋体"/>
        </w:rPr>
        <w:t>．装修工程为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4</w:t>
      </w:r>
      <w:r>
        <w:rPr>
          <w:rFonts w:hint="eastAsia" w:ascii="宋体" w:hAnsi="宋体" w:cs="宋体"/>
        </w:rPr>
        <w:t>．电气管线、给排水管道、设备安装工程为</w:t>
      </w:r>
      <w:r>
        <w:rPr>
          <w:rFonts w:ascii="宋体" w:hAnsi="宋体" w:cs="宋体"/>
          <w:u w:val="single"/>
        </w:rPr>
        <w:t xml:space="preserve"> </w:t>
      </w:r>
      <w:r>
        <w:rPr>
          <w:rFonts w:hint="eastAsia" w:ascii="宋体" w:hAnsi="宋体" w:cs="宋体"/>
          <w:u w:val="single"/>
        </w:rPr>
        <w:t xml:space="preserve">2 </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5</w:t>
      </w:r>
      <w:r>
        <w:rPr>
          <w:rFonts w:hint="eastAsia" w:ascii="宋体" w:hAnsi="宋体" w:cs="宋体"/>
        </w:rPr>
        <w:t>．供热与供冷系统为</w:t>
      </w:r>
      <w:r>
        <w:rPr>
          <w:rFonts w:ascii="宋体" w:hAnsi="宋体" w:cs="宋体"/>
          <w:u w:val="single"/>
        </w:rPr>
        <w:t xml:space="preserve"> </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个采暖期、供冷期；</w:t>
      </w:r>
    </w:p>
    <w:p>
      <w:pPr>
        <w:spacing w:line="340" w:lineRule="exact"/>
        <w:ind w:firstLine="420" w:firstLineChars="200"/>
        <w:rPr>
          <w:rFonts w:ascii="宋体" w:hAnsi="宋体" w:cs="宋体"/>
        </w:rPr>
      </w:pPr>
      <w:r>
        <w:rPr>
          <w:rFonts w:ascii="宋体" w:hAnsi="宋体" w:cs="宋体"/>
        </w:rPr>
        <w:t>6</w:t>
      </w:r>
      <w:r>
        <w:rPr>
          <w:rFonts w:hint="eastAsia" w:ascii="宋体" w:hAnsi="宋体" w:cs="宋体"/>
        </w:rPr>
        <w:t>．住宅小区内的给排水设施、道路等配套工程为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7</w:t>
      </w:r>
      <w:r>
        <w:rPr>
          <w:rFonts w:hint="eastAsia" w:ascii="宋体" w:hAnsi="宋体" w:cs="宋体"/>
        </w:rPr>
        <w:t>．其他项目保修期限为</w:t>
      </w:r>
      <w:r>
        <w:rPr>
          <w:rFonts w:hint="eastAsia" w:ascii="宋体" w:hAnsi="宋体" w:cs="宋体"/>
          <w:u w:val="single"/>
        </w:rPr>
        <w:t xml:space="preserve"> </w:t>
      </w:r>
      <w:r>
        <w:rPr>
          <w:rFonts w:hint="eastAsia" w:ascii="宋体" w:hAnsi="宋体" w:cs="宋体"/>
          <w:u w:val="single"/>
          <w:lang w:val="en-US" w:eastAsia="zh-CN"/>
        </w:rPr>
        <w:t>2</w:t>
      </w:r>
      <w:r>
        <w:rPr>
          <w:rFonts w:ascii="宋体" w:hAnsi="宋体" w:cs="宋体"/>
          <w:u w:val="single"/>
        </w:rPr>
        <w:t xml:space="preserve"> </w:t>
      </w:r>
      <w:r>
        <w:rPr>
          <w:rFonts w:hint="eastAsia" w:ascii="宋体" w:hAnsi="宋体" w:cs="宋体"/>
        </w:rPr>
        <w:t xml:space="preserve">年； </w:t>
      </w:r>
    </w:p>
    <w:p>
      <w:pPr>
        <w:spacing w:line="340" w:lineRule="exact"/>
        <w:ind w:firstLine="405"/>
        <w:rPr>
          <w:rFonts w:ascii="宋体" w:hAnsi="宋体" w:cs="宋体"/>
        </w:rPr>
      </w:pPr>
      <w:r>
        <w:rPr>
          <w:rFonts w:hint="eastAsia" w:ascii="宋体" w:hAnsi="宋体" w:cs="宋体"/>
        </w:rPr>
        <w:t>质量保修期自工程竣工验收合格之日起计算。</w:t>
      </w:r>
    </w:p>
    <w:p>
      <w:pPr>
        <w:spacing w:line="340" w:lineRule="exact"/>
        <w:ind w:firstLine="405"/>
        <w:rPr>
          <w:rFonts w:ascii="宋体" w:hAnsi="宋体" w:cs="宋体"/>
        </w:rPr>
      </w:pPr>
      <w:r>
        <w:rPr>
          <w:rFonts w:hint="eastAsia" w:ascii="宋体" w:hAnsi="宋体" w:cs="宋体"/>
          <w:b/>
        </w:rPr>
        <w:t>三、质量保修责任</w:t>
      </w:r>
    </w:p>
    <w:p>
      <w:pPr>
        <w:spacing w:line="340" w:lineRule="exact"/>
        <w:ind w:firstLine="405"/>
        <w:rPr>
          <w:rFonts w:ascii="宋体" w:hAnsi="宋体" w:cs="宋体"/>
        </w:rPr>
      </w:pPr>
      <w:r>
        <w:rPr>
          <w:rFonts w:ascii="宋体" w:hAnsi="宋体" w:cs="宋体"/>
        </w:rPr>
        <w:t>1</w:t>
      </w:r>
      <w:r>
        <w:rPr>
          <w:rFonts w:hint="eastAsia" w:ascii="宋体" w:hAnsi="宋体" w:cs="宋体"/>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rPr>
      </w:pPr>
      <w:r>
        <w:rPr>
          <w:rFonts w:ascii="宋体" w:hAnsi="宋体" w:cs="宋体"/>
        </w:rPr>
        <w:t>2</w:t>
      </w:r>
      <w:r>
        <w:rPr>
          <w:rFonts w:hint="eastAsia" w:ascii="宋体" w:hAnsi="宋体" w:cs="宋体"/>
        </w:rPr>
        <w:t>．发生紧急事故需抢修的，承包人在接到事故通知后，应当立即到达事故现场抢修。</w:t>
      </w:r>
    </w:p>
    <w:p>
      <w:pPr>
        <w:spacing w:line="340" w:lineRule="exact"/>
        <w:ind w:firstLine="405"/>
        <w:rPr>
          <w:rFonts w:ascii="宋体" w:hAnsi="宋体" w:cs="宋体"/>
        </w:rPr>
      </w:pPr>
      <w:r>
        <w:rPr>
          <w:rFonts w:ascii="宋体" w:hAnsi="宋体" w:cs="宋体"/>
        </w:rPr>
        <w:t>3</w:t>
      </w:r>
      <w:r>
        <w:rPr>
          <w:rFonts w:hint="eastAsia" w:ascii="宋体" w:hAnsi="宋体" w:cs="宋体"/>
        </w:rPr>
        <w:t>．对于涉及结构安全的质量问题，应当按照《建设工程质量管理条例》的规定，立即向当地建设行政主管部门和其他有关部门报告，采取安全防范措施，并由原设计人或者具有相应资质等级的设计</w:t>
      </w:r>
      <w:r>
        <w:rPr>
          <w:rFonts w:hint="eastAsia" w:ascii="宋体" w:hAnsi="宋体" w:cs="宋体"/>
          <w:lang w:eastAsia="zh-CN"/>
        </w:rPr>
        <w:t>人</w:t>
      </w:r>
      <w:r>
        <w:rPr>
          <w:rFonts w:hint="eastAsia" w:ascii="宋体" w:hAnsi="宋体" w:cs="宋体"/>
        </w:rPr>
        <w:t>提出保修方案，承包人实施保修。</w:t>
      </w:r>
    </w:p>
    <w:p>
      <w:pPr>
        <w:spacing w:line="340" w:lineRule="exact"/>
        <w:ind w:firstLine="405"/>
        <w:rPr>
          <w:rFonts w:ascii="宋体" w:hAnsi="宋体" w:cs="宋体"/>
        </w:rPr>
      </w:pPr>
      <w:r>
        <w:rPr>
          <w:rFonts w:ascii="宋体" w:hAnsi="宋体" w:cs="宋体"/>
        </w:rPr>
        <w:t>4</w:t>
      </w:r>
      <w:r>
        <w:rPr>
          <w:rFonts w:hint="eastAsia" w:ascii="宋体" w:hAnsi="宋体" w:cs="宋体"/>
        </w:rPr>
        <w:t>．质量保修完成后，由发包人组织验收。</w:t>
      </w:r>
    </w:p>
    <w:p>
      <w:pPr>
        <w:spacing w:line="340" w:lineRule="exact"/>
        <w:rPr>
          <w:rFonts w:ascii="宋体" w:hAnsi="宋体" w:cs="宋体"/>
          <w:b/>
        </w:rPr>
      </w:pPr>
      <w:r>
        <w:rPr>
          <w:rFonts w:hint="eastAsia" w:ascii="宋体" w:hAnsi="宋体" w:cs="宋体"/>
          <w:b/>
        </w:rPr>
        <w:t>　　四、保修费用</w:t>
      </w:r>
    </w:p>
    <w:p>
      <w:pPr>
        <w:spacing w:line="340" w:lineRule="exact"/>
        <w:ind w:firstLine="420"/>
        <w:rPr>
          <w:rFonts w:ascii="宋体" w:hAnsi="宋体" w:cs="宋体"/>
        </w:rPr>
      </w:pPr>
      <w:r>
        <w:rPr>
          <w:rFonts w:hint="eastAsia" w:ascii="宋体" w:hAnsi="宋体" w:cs="宋体"/>
        </w:rPr>
        <w:t>保修费用由造成质量缺陷的责任方承担。</w:t>
      </w:r>
    </w:p>
    <w:p>
      <w:pPr>
        <w:spacing w:line="340" w:lineRule="exact"/>
        <w:ind w:firstLine="420"/>
        <w:rPr>
          <w:rFonts w:ascii="宋体" w:hAnsi="宋体" w:cs="宋体"/>
          <w:b/>
        </w:rPr>
      </w:pPr>
      <w:r>
        <w:rPr>
          <w:rFonts w:hint="eastAsia" w:ascii="宋体" w:hAnsi="宋体" w:cs="宋体"/>
          <w:b/>
        </w:rPr>
        <w:t>五、其他</w:t>
      </w:r>
    </w:p>
    <w:p>
      <w:pPr>
        <w:spacing w:line="340" w:lineRule="exact"/>
        <w:ind w:firstLine="420"/>
        <w:rPr>
          <w:rFonts w:ascii="宋体" w:hAnsi="宋体" w:cs="宋体"/>
        </w:rPr>
      </w:pPr>
      <w:r>
        <w:rPr>
          <w:rFonts w:hint="eastAsia" w:ascii="宋体" w:hAnsi="宋体" w:cs="宋体"/>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kern w:val="0"/>
          <w:szCs w:val="21"/>
        </w:rPr>
      </w:pP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4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4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40" w:lineRule="exact"/>
        <w:ind w:firstLine="1680" w:firstLineChars="800"/>
        <w:rPr>
          <w:rFonts w:ascii="宋体" w:hAnsi="宋体" w:cs="宋体"/>
          <w:szCs w:val="21"/>
        </w:rPr>
      </w:pPr>
      <w:r>
        <w:rPr>
          <w:rFonts w:hint="eastAsia" w:ascii="宋体" w:hAnsi="宋体" w:cs="宋体"/>
          <w:szCs w:val="21"/>
        </w:rPr>
        <w:t>　年　　月　　日　　　　　　　　　            年　　月　　日</w:t>
      </w:r>
    </w:p>
    <w:p>
      <w:pPr>
        <w:rPr>
          <w:rFonts w:hint="eastAsia"/>
        </w:rPr>
      </w:pPr>
      <w:r>
        <w:rPr>
          <w:rFonts w:hint="eastAsia"/>
        </w:rPr>
        <w:br w:type="page"/>
      </w:r>
    </w:p>
    <w:p>
      <w:pPr>
        <w:spacing w:line="340" w:lineRule="exact"/>
      </w:pPr>
      <w:r>
        <w:rPr>
          <w:rFonts w:hint="eastAsia"/>
        </w:rPr>
        <w:t>附件二：建设工程廉政责任书</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r>
        <w:rPr>
          <w:rFonts w:hint="eastAsia" w:ascii="宋体" w:hAnsi="宋体" w:cs="宋体"/>
          <w:b/>
          <w:sz w:val="30"/>
          <w:szCs w:val="30"/>
        </w:rPr>
        <w:t>建设工程廉政责任书</w:t>
      </w:r>
    </w:p>
    <w:p>
      <w:pPr>
        <w:spacing w:line="360" w:lineRule="exact"/>
        <w:jc w:val="center"/>
        <w:rPr>
          <w:rFonts w:ascii="宋体" w:hAnsi="宋体" w:cs="宋体"/>
          <w:b/>
          <w:sz w:val="30"/>
          <w:szCs w:val="30"/>
        </w:rPr>
      </w:pPr>
    </w:p>
    <w:bookmarkEnd w:id="452"/>
    <w:bookmarkEnd w:id="453"/>
    <w:bookmarkEnd w:id="470"/>
    <w:bookmarkEnd w:id="471"/>
    <w:p>
      <w:pPr>
        <w:spacing w:line="360" w:lineRule="exact"/>
        <w:ind w:firstLine="420" w:firstLineChars="200"/>
        <w:rPr>
          <w:rFonts w:ascii="宋体" w:hAnsi="宋体" w:cs="宋体"/>
          <w:b/>
          <w:u w:val="single"/>
        </w:rPr>
      </w:pPr>
      <w:bookmarkStart w:id="507" w:name="_Toc354832093"/>
      <w:bookmarkStart w:id="508" w:name="_Toc352707846"/>
      <w:bookmarkStart w:id="509" w:name="_Toc199124869"/>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r>
        <w:rPr>
          <w:rFonts w:hint="eastAsia" w:ascii="宋体" w:hAnsi="宋体" w:cs="宋体"/>
          <w:b/>
          <w:u w:val="single"/>
        </w:rPr>
        <w:t xml:space="preserve">  </w:t>
      </w:r>
    </w:p>
    <w:p>
      <w:pPr>
        <w:spacing w:line="360" w:lineRule="exact"/>
      </w:pPr>
      <w:r>
        <w:rPr>
          <w:rFonts w:hint="eastAsia" w:ascii="宋体" w:hAnsi="宋体" w:cs="宋体"/>
        </w:rPr>
        <w:t>　　承包人（全称）：</w:t>
      </w:r>
      <w:r>
        <w:rPr>
          <w:rFonts w:hint="eastAsia"/>
          <w:b/>
          <w:u w:val="single"/>
        </w:rPr>
        <w:t xml:space="preserve">                                              </w:t>
      </w:r>
      <w:r>
        <w:rPr>
          <w:rFonts w:ascii="宋体" w:hAnsi="宋体" w:cs="宋体"/>
        </w:rPr>
        <w:t xml:space="preserve">   </w:t>
      </w:r>
      <w:r>
        <w:rPr>
          <w:rFonts w:hint="eastAsia"/>
        </w:rPr>
        <w:t>　　　　　　　　　　　　　　　　　　　　　　</w:t>
      </w:r>
    </w:p>
    <w:p>
      <w:pPr>
        <w:spacing w:line="360" w:lineRule="exact"/>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rPr>
      </w:pPr>
      <w:r>
        <w:rPr>
          <w:rFonts w:hint="eastAsia"/>
          <w:b/>
        </w:rPr>
        <w:t>一、双方的责任</w:t>
      </w:r>
    </w:p>
    <w:p>
      <w:pPr>
        <w:spacing w:line="360" w:lineRule="exact"/>
      </w:pPr>
      <w:r>
        <w:rPr>
          <w:rFonts w:hint="eastAsia"/>
        </w:rPr>
        <w:t>　　1.1应严格遵守国家关于建设工程的有关法律、法规，相关政策，以及廉政建设的各项规定。</w:t>
      </w:r>
    </w:p>
    <w:p>
      <w:pPr>
        <w:spacing w:line="360" w:lineRule="exact"/>
      </w:pPr>
      <w:r>
        <w:rPr>
          <w:rFonts w:hint="eastAsia"/>
        </w:rPr>
        <w:t>　　1.2严格执行建设工程合同文件，自觉按合同办事。</w:t>
      </w:r>
    </w:p>
    <w:p>
      <w:pPr>
        <w:spacing w:line="360" w:lineRule="exact"/>
      </w:pPr>
      <w:r>
        <w:rPr>
          <w:rFonts w:hint="eastAsia"/>
        </w:rPr>
        <w:t>　　1.3各项活动必须坚持公开、公平、公正、诚信、透明的原则（除法律法规另有规定者外），不得为获取不正当的利益，损害国家、集体和对方利益，不得违反建设工程管理的规章制度。</w:t>
      </w:r>
    </w:p>
    <w:p>
      <w:pPr>
        <w:spacing w:line="360" w:lineRule="exact"/>
      </w:pPr>
      <w:r>
        <w:rPr>
          <w:rFonts w:hint="eastAsia"/>
        </w:rPr>
        <w:t>　　1.4发现对方在业务活动中有违规、违纪、违法行为的，应及时提醒对方，情节严重的，应向其上级主管部门或纪检监察、司法等有关机关举报。</w:t>
      </w:r>
    </w:p>
    <w:p>
      <w:pPr>
        <w:spacing w:line="360" w:lineRule="exact"/>
        <w:rPr>
          <w:b/>
        </w:rPr>
      </w:pPr>
      <w:r>
        <w:rPr>
          <w:rFonts w:hint="eastAsia"/>
          <w:b/>
        </w:rPr>
        <w:t>二、发包人责任</w:t>
      </w:r>
    </w:p>
    <w:p>
      <w:pPr>
        <w:spacing w:line="360" w:lineRule="exact"/>
      </w:pPr>
      <w:r>
        <w:rPr>
          <w:rFonts w:hint="eastAsia"/>
        </w:rPr>
        <w:t>　　发包人的领导和从事该建设工程项目的工作人员，在工程建设的事前、事中、事后应遵守以下规定：</w:t>
      </w:r>
    </w:p>
    <w:p>
      <w:pPr>
        <w:spacing w:line="360" w:lineRule="exact"/>
      </w:pPr>
      <w:r>
        <w:rPr>
          <w:rFonts w:hint="eastAsia"/>
        </w:rPr>
        <w:t>　　2.1不得向承包人和相关单位索要或接受回扣、礼金、有价证券、贵重物品和好处费、感谢费等。</w:t>
      </w:r>
    </w:p>
    <w:p>
      <w:pPr>
        <w:spacing w:line="360" w:lineRule="exact"/>
      </w:pPr>
      <w:r>
        <w:rPr>
          <w:rFonts w:hint="eastAsia"/>
        </w:rPr>
        <w:t>　　2.2不得在承包人和相关单位报销任何应由发包人或个人支付的费用。</w:t>
      </w:r>
    </w:p>
    <w:p>
      <w:pPr>
        <w:spacing w:line="360" w:lineRule="exact"/>
      </w:pPr>
      <w:r>
        <w:rPr>
          <w:rFonts w:hint="eastAsia"/>
        </w:rPr>
        <w:t>　　2.3不得要求、暗示或接受承包人和相关单位为个人装修住房、婚丧嫁娶、配偶子女的工作安排以及出国（境）、旅游等提供方便。</w:t>
      </w:r>
    </w:p>
    <w:p>
      <w:pPr>
        <w:spacing w:line="360" w:lineRule="exact"/>
      </w:pPr>
      <w:r>
        <w:rPr>
          <w:rFonts w:hint="eastAsia"/>
        </w:rPr>
        <w:t>　　2.4不得参加有可能影响公正执行公务的承包人和相关单位的宴请、健身、娱乐等活动。</w:t>
      </w:r>
    </w:p>
    <w:p>
      <w:pPr>
        <w:spacing w:line="360" w:lineRule="exact"/>
      </w:pPr>
      <w:r>
        <w:rPr>
          <w:rFonts w:hint="eastAsia"/>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rPr>
      </w:pPr>
      <w:r>
        <w:rPr>
          <w:rFonts w:hint="eastAsia"/>
          <w:b/>
        </w:rPr>
        <w:t>三、承包人责任</w:t>
      </w:r>
    </w:p>
    <w:p>
      <w:pPr>
        <w:spacing w:line="360" w:lineRule="exact"/>
      </w:pPr>
      <w:r>
        <w:rPr>
          <w:rFonts w:hint="eastAsia"/>
        </w:rPr>
        <w:t>　　应与发包人保持正常的业务交往，按照有关法律法规和程序开展业务工作，严格执行工程建设的有关方针、政策，执行工程建设强制性标准，并遵守以下规定：</w:t>
      </w:r>
    </w:p>
    <w:p>
      <w:pPr>
        <w:spacing w:line="360" w:lineRule="exact"/>
      </w:pPr>
      <w:r>
        <w:rPr>
          <w:rFonts w:hint="eastAsia"/>
        </w:rPr>
        <w:t>　　3.1不得以任何理由向发包人及其工作人员索要、接受或赠送礼金、有价证券、贵重物品及回扣、好处费、感谢费等。</w:t>
      </w:r>
    </w:p>
    <w:p>
      <w:pPr>
        <w:spacing w:line="360" w:lineRule="exact"/>
      </w:pPr>
      <w:r>
        <w:rPr>
          <w:rFonts w:hint="eastAsia"/>
        </w:rPr>
        <w:t>　　3.2不得以任何理由为发包人和相关单位报销应由对方或个人支付的费用。</w:t>
      </w:r>
    </w:p>
    <w:p>
      <w:pPr>
        <w:spacing w:line="360" w:lineRule="exact"/>
      </w:pPr>
      <w:r>
        <w:rPr>
          <w:rFonts w:hint="eastAsia"/>
        </w:rPr>
        <w:t>　　3.3不得接受或暗示为发包人、相关单位或个人装修住房、婚丧嫁娶、配偶子女的工作安排以及出国（境）、旅游等提供方便。</w:t>
      </w:r>
    </w:p>
    <w:p>
      <w:pPr>
        <w:spacing w:line="360" w:lineRule="exact"/>
      </w:pPr>
      <w:r>
        <w:rPr>
          <w:rFonts w:hint="eastAsia"/>
        </w:rPr>
        <w:t>　　3.4不得以任何理由为发包人、相关单位或个人组织有可能影响公正执行公务的宴请、健身、娱乐等活动。</w:t>
      </w:r>
    </w:p>
    <w:p>
      <w:pPr>
        <w:spacing w:line="360" w:lineRule="exact"/>
        <w:rPr>
          <w:b/>
        </w:rPr>
      </w:pPr>
      <w:r>
        <w:rPr>
          <w:rFonts w:hint="eastAsia"/>
          <w:b/>
        </w:rPr>
        <w:t>四、违约责任</w:t>
      </w:r>
    </w:p>
    <w:p>
      <w:pPr>
        <w:spacing w:line="360" w:lineRule="exact"/>
      </w:pPr>
      <w:r>
        <w:rPr>
          <w:rFonts w:hint="eastAsia"/>
        </w:rPr>
        <w:t>　　4.1发包人工作人员有违反本责任书第一、二条责任行为的，依据有关法律、法规给予处理；涉嫌犯罪的，移交司法机关追究刑事责任；给承包人单位造成经济损失的，应予以赔偿。</w:t>
      </w:r>
    </w:p>
    <w:p>
      <w:pPr>
        <w:spacing w:line="360" w:lineRule="exact"/>
      </w:pPr>
      <w:r>
        <w:rPr>
          <w:rFonts w:hint="eastAsia"/>
        </w:rPr>
        <w:t>　　4.2承包人工作人员有违反本责任书第一、三条责任行为的，依据有关法律法规处理；涉嫌犯罪的，移交司法机关追究刑事责任；给发包人单位造成经济损失的，应予以赔偿。</w:t>
      </w:r>
    </w:p>
    <w:p>
      <w:pPr>
        <w:spacing w:line="360" w:lineRule="exact"/>
      </w:pPr>
      <w:r>
        <w:rPr>
          <w:rFonts w:hint="eastAsia"/>
        </w:rPr>
        <w:t>　　4.3本责任书作为建设工程合同的组成部分，与建设工程合同具有同等法律效力。经双方签署后立即生效。</w:t>
      </w:r>
    </w:p>
    <w:p>
      <w:pPr>
        <w:spacing w:line="360" w:lineRule="exact"/>
        <w:rPr>
          <w:b/>
        </w:rPr>
      </w:pPr>
      <w:r>
        <w:rPr>
          <w:rFonts w:hint="eastAsia"/>
          <w:b/>
        </w:rPr>
        <w:t>五、责任书有效期</w:t>
      </w:r>
    </w:p>
    <w:p>
      <w:pPr>
        <w:spacing w:line="360" w:lineRule="exact"/>
      </w:pPr>
      <w:r>
        <w:rPr>
          <w:rFonts w:hint="eastAsia"/>
        </w:rPr>
        <w:t>　　本责任书的有效期为双方签署之日起至该工程项目竣工验收合格时止。</w:t>
      </w:r>
    </w:p>
    <w:p>
      <w:pPr>
        <w:spacing w:line="360" w:lineRule="exact"/>
        <w:rPr>
          <w:b/>
        </w:rPr>
      </w:pPr>
      <w:r>
        <w:rPr>
          <w:rFonts w:hint="eastAsia"/>
          <w:b/>
        </w:rPr>
        <w:t>六、责任书份数</w:t>
      </w:r>
    </w:p>
    <w:p>
      <w:pPr>
        <w:spacing w:line="360" w:lineRule="exact"/>
        <w:ind w:firstLine="405"/>
      </w:pPr>
      <w:r>
        <w:rPr>
          <w:rFonts w:hint="eastAsia" w:ascii="宋体" w:hAnsi="宋体" w:cs="宋体"/>
        </w:rPr>
        <w:t>本工程质量保修书，由施工合同发包人、承包人双方在签订合同协议书时一并签订，作为施工合同附件</w:t>
      </w:r>
      <w:r>
        <w:rPr>
          <w:rFonts w:hint="eastAsia"/>
        </w:rPr>
        <w:t>，具有同等效力。</w:t>
      </w:r>
    </w:p>
    <w:p>
      <w:pPr>
        <w:spacing w:line="360" w:lineRule="exact"/>
        <w:ind w:firstLine="420" w:firstLineChars="200"/>
        <w:rPr>
          <w:rFonts w:ascii="宋体" w:hAnsi="宋体" w:cs="MingLiUfalt"/>
          <w:snapToGrid w:val="0"/>
          <w:kern w:val="0"/>
          <w:szCs w:val="21"/>
        </w:rPr>
      </w:pP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6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6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60" w:lineRule="exact"/>
        <w:rPr>
          <w:rFonts w:ascii="宋体" w:hAnsi="宋体" w:cs="宋体"/>
          <w:szCs w:val="21"/>
        </w:rPr>
      </w:pPr>
      <w:r>
        <w:rPr>
          <w:rFonts w:hint="eastAsia" w:ascii="宋体" w:hAnsi="宋体" w:cs="宋体"/>
          <w:szCs w:val="21"/>
        </w:rPr>
        <w:t>　　　　　　</w:t>
      </w:r>
    </w:p>
    <w:p>
      <w:pPr>
        <w:spacing w:line="360" w:lineRule="exact"/>
        <w:ind w:firstLine="1680" w:firstLineChars="800"/>
        <w:rPr>
          <w:rFonts w:ascii="宋体" w:hAnsi="宋体"/>
        </w:rPr>
      </w:pPr>
      <w:r>
        <w:rPr>
          <w:rFonts w:hint="eastAsia" w:ascii="宋体" w:hAnsi="宋体" w:cs="宋体"/>
          <w:szCs w:val="21"/>
        </w:rPr>
        <w:t>　年　　月　　日　　　　　　　　　            年　　月　　日</w:t>
      </w:r>
    </w:p>
    <w:p>
      <w:pPr>
        <w:spacing w:line="360" w:lineRule="exact"/>
        <w:ind w:firstLine="1260" w:firstLineChars="600"/>
        <w:rPr>
          <w:rFonts w:ascii="宋体" w:hAnsi="宋体" w:cs="宋体"/>
        </w:rPr>
      </w:pPr>
    </w:p>
    <w:p>
      <w:pPr>
        <w:spacing w:line="460" w:lineRule="exact"/>
        <w:ind w:firstLine="1260" w:firstLineChars="600"/>
        <w:rPr>
          <w:rFonts w:ascii="宋体" w:hAnsi="宋体" w:cs="宋体"/>
        </w:rPr>
      </w:pPr>
    </w:p>
    <w:p>
      <w:pPr>
        <w:pStyle w:val="5"/>
        <w:adjustRightInd w:val="0"/>
        <w:snapToGrid w:val="0"/>
        <w:spacing w:before="0" w:after="0" w:line="360" w:lineRule="auto"/>
        <w:jc w:val="center"/>
      </w:pPr>
      <w:bookmarkStart w:id="510" w:name="_Toc513492491"/>
      <w:bookmarkStart w:id="511" w:name="_Toc452058739"/>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
    <w:p/>
    <w:p/>
    <w:p>
      <w:pPr>
        <w:pStyle w:val="5"/>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t>第五章 工程量清单</w:t>
      </w:r>
      <w:bookmarkEnd w:id="507"/>
      <w:bookmarkEnd w:id="508"/>
      <w:bookmarkEnd w:id="510"/>
      <w:bookmarkEnd w:id="511"/>
    </w:p>
    <w:bookmarkEnd w:id="509"/>
    <w:p>
      <w:pPr>
        <w:spacing w:line="360" w:lineRule="exact"/>
        <w:jc w:val="center"/>
      </w:pPr>
      <w:bookmarkStart w:id="512" w:name="招标文件05章工程量清单01"/>
      <w:bookmarkEnd w:id="512"/>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color w:val="auto"/>
          <w:kern w:val="0"/>
          <w:szCs w:val="21"/>
        </w:rPr>
        <w:t>。</w:t>
      </w:r>
    </w:p>
    <w:p>
      <w:pPr>
        <w:spacing w:line="360" w:lineRule="exact"/>
      </w:pPr>
    </w:p>
    <w:p>
      <w:pPr>
        <w:pStyle w:val="5"/>
        <w:spacing w:before="0" w:after="0" w:line="500" w:lineRule="exact"/>
        <w:jc w:val="center"/>
        <w:rPr>
          <w:sz w:val="36"/>
          <w:szCs w:val="36"/>
        </w:rPr>
      </w:pPr>
      <w:bookmarkStart w:id="513" w:name="招标文件07章技术标准和要求"/>
      <w:bookmarkEnd w:id="513"/>
      <w:bookmarkStart w:id="514" w:name="_Hlt269644941"/>
      <w:bookmarkEnd w:id="514"/>
      <w:bookmarkStart w:id="515" w:name="_Toc452058740"/>
      <w:bookmarkStart w:id="516" w:name="_Toc513492492"/>
      <w:r>
        <w:rPr>
          <w:rFonts w:hint="eastAsia"/>
          <w:sz w:val="36"/>
          <w:szCs w:val="36"/>
        </w:rPr>
        <w:br w:type="page"/>
      </w:r>
      <w:r>
        <w:rPr>
          <w:rFonts w:hint="eastAsia"/>
          <w:sz w:val="36"/>
          <w:szCs w:val="36"/>
        </w:rPr>
        <w:t>第六章  图纸</w:t>
      </w:r>
      <w:bookmarkEnd w:id="515"/>
      <w:bookmarkEnd w:id="516"/>
    </w:p>
    <w:p/>
    <w:p>
      <w:pPr>
        <w:jc w:val="center"/>
        <w:rPr>
          <w:rFonts w:eastAsia="黑体"/>
          <w:b/>
          <w:sz w:val="44"/>
          <w:szCs w:val="44"/>
        </w:rPr>
      </w:pPr>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kern w:val="0"/>
          <w:szCs w:val="21"/>
        </w:rPr>
        <w:t>。</w:t>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pStyle w:val="5"/>
        <w:spacing w:line="360" w:lineRule="auto"/>
        <w:jc w:val="center"/>
        <w:rPr>
          <w:rFonts w:ascii="宋体" w:hAnsi="宋体"/>
          <w:sz w:val="32"/>
          <w:szCs w:val="32"/>
        </w:rPr>
      </w:pPr>
      <w:bookmarkStart w:id="517" w:name="_Toc513492493"/>
      <w:bookmarkStart w:id="518" w:name="_Toc452058741"/>
      <w:r>
        <w:rPr>
          <w:rFonts w:hint="eastAsia"/>
          <w:sz w:val="36"/>
          <w:szCs w:val="36"/>
        </w:rPr>
        <w:br w:type="page"/>
      </w:r>
      <w:r>
        <w:rPr>
          <w:rFonts w:hint="eastAsia"/>
          <w:sz w:val="36"/>
          <w:szCs w:val="36"/>
        </w:rPr>
        <w:t xml:space="preserve">第七章  </w:t>
      </w:r>
      <w:bookmarkEnd w:id="517"/>
      <w:bookmarkEnd w:id="518"/>
      <w:r>
        <w:rPr>
          <w:rFonts w:hint="eastAsia"/>
          <w:sz w:val="36"/>
          <w:szCs w:val="36"/>
        </w:rPr>
        <w:t>技术标准和要求</w:t>
      </w:r>
      <w:bookmarkStart w:id="519" w:name="招标文件07章技术标准和要求01"/>
      <w:bookmarkEnd w:id="519"/>
      <w:bookmarkStart w:id="520" w:name="_Toc287620808"/>
      <w:bookmarkStart w:id="521" w:name="_Toc430530524"/>
    </w:p>
    <w:bookmarkEnd w:id="520"/>
    <w:bookmarkEnd w:id="521"/>
    <w:p>
      <w:pPr>
        <w:spacing w:line="360" w:lineRule="auto"/>
        <w:ind w:firstLine="420" w:firstLineChars="200"/>
        <w:jc w:val="left"/>
        <w:rPr>
          <w:rStyle w:val="60"/>
          <w:rFonts w:hint="eastAsia"/>
        </w:rPr>
      </w:pPr>
      <w:r>
        <w:rPr>
          <w:rStyle w:val="60"/>
          <w:rFonts w:hint="eastAsia"/>
        </w:rPr>
        <w:t>一、技术标准和要求以本工程设计比选人要求为准。</w:t>
      </w:r>
    </w:p>
    <w:p>
      <w:pPr>
        <w:spacing w:line="360" w:lineRule="auto"/>
        <w:ind w:firstLine="420" w:firstLineChars="200"/>
        <w:jc w:val="left"/>
        <w:rPr>
          <w:rStyle w:val="60"/>
        </w:rPr>
      </w:pPr>
      <w:r>
        <w:rPr>
          <w:rStyle w:val="60"/>
          <w:rFonts w:hint="eastAsia"/>
        </w:rPr>
        <w:t>二、按国家及重庆市相关设计、施工验收规范及标准执行。</w:t>
      </w:r>
    </w:p>
    <w:p>
      <w:pPr>
        <w:jc w:val="center"/>
        <w:rPr>
          <w:b/>
          <w:bCs/>
          <w:kern w:val="44"/>
          <w:sz w:val="36"/>
          <w:szCs w:val="36"/>
        </w:rPr>
      </w:pPr>
      <w:r>
        <w:rPr>
          <w:rFonts w:ascii="宋体" w:hAnsi="宋体"/>
        </w:rPr>
        <w:br w:type="page"/>
      </w:r>
      <w:bookmarkStart w:id="522" w:name="_Toc534185829"/>
      <w:bookmarkStart w:id="523" w:name="_Toc430530528"/>
      <w:bookmarkStart w:id="524" w:name="_Toc4492"/>
      <w:bookmarkStart w:id="525" w:name="_Toc509218852"/>
      <w:r>
        <w:rPr>
          <w:rFonts w:hint="eastAsia"/>
          <w:b/>
          <w:bCs/>
          <w:kern w:val="44"/>
          <w:sz w:val="36"/>
          <w:szCs w:val="36"/>
        </w:rPr>
        <w:t>第八章  投标文件格式</w:t>
      </w:r>
      <w:bookmarkEnd w:id="522"/>
      <w:bookmarkEnd w:id="523"/>
      <w:bookmarkEnd w:id="524"/>
      <w:bookmarkEnd w:id="525"/>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rPr>
        <w:br w:type="page"/>
      </w:r>
      <w:bookmarkStart w:id="526" w:name="_Toc224103493"/>
      <w:r>
        <w:rPr>
          <w:rFonts w:hint="eastAsia" w:ascii="宋体" w:hAnsi="宋体"/>
          <w:b/>
          <w:bCs/>
          <w:sz w:val="32"/>
          <w:szCs w:val="32"/>
        </w:rPr>
        <w:t>目  录</w:t>
      </w:r>
      <w:bookmarkEnd w:id="526"/>
    </w:p>
    <w:p>
      <w:pPr>
        <w:spacing w:line="360" w:lineRule="auto"/>
        <w:jc w:val="center"/>
        <w:rPr>
          <w:rFonts w:ascii="宋体" w:hAnsi="宋体"/>
        </w:rPr>
      </w:pPr>
    </w:p>
    <w:p>
      <w:pPr>
        <w:spacing w:line="700" w:lineRule="exact"/>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spacing w:line="700" w:lineRule="exact"/>
        <w:ind w:firstLine="480" w:firstLineChars="200"/>
        <w:rPr>
          <w:rFonts w:ascii="宋体" w:hAnsi="宋体"/>
          <w:sz w:val="24"/>
          <w:szCs w:val="24"/>
        </w:rPr>
      </w:pPr>
      <w:r>
        <w:rPr>
          <w:rFonts w:ascii="宋体" w:hAnsi="宋体"/>
          <w:sz w:val="24"/>
          <w:szCs w:val="24"/>
        </w:rPr>
        <w:t>（一）投标函</w:t>
      </w:r>
    </w:p>
    <w:p>
      <w:pPr>
        <w:spacing w:line="700" w:lineRule="exact"/>
        <w:ind w:firstLine="480" w:firstLineChars="200"/>
        <w:rPr>
          <w:rFonts w:ascii="宋体" w:hAnsi="宋体"/>
          <w:sz w:val="24"/>
          <w:szCs w:val="24"/>
        </w:rPr>
      </w:pPr>
      <w:r>
        <w:rPr>
          <w:rFonts w:hint="eastAsia" w:ascii="宋体" w:hAnsi="宋体"/>
          <w:sz w:val="24"/>
          <w:szCs w:val="24"/>
        </w:rPr>
        <w:t>（二）投标函附录</w:t>
      </w:r>
    </w:p>
    <w:p>
      <w:pPr>
        <w:spacing w:line="700" w:lineRule="exact"/>
        <w:ind w:firstLine="480" w:firstLineChars="200"/>
        <w:rPr>
          <w:rFonts w:hint="eastAsia" w:ascii="宋体" w:hAnsi="宋体"/>
          <w:sz w:val="24"/>
          <w:szCs w:val="24"/>
        </w:rPr>
      </w:pPr>
      <w:r>
        <w:rPr>
          <w:rFonts w:hint="eastAsia" w:ascii="宋体" w:hAnsi="宋体"/>
          <w:sz w:val="24"/>
          <w:szCs w:val="24"/>
        </w:rPr>
        <w:t>（三）法定代表人身份证明或附有法定代表人身份证明的授权委托书</w:t>
      </w:r>
    </w:p>
    <w:p>
      <w:pPr>
        <w:spacing w:line="700" w:lineRule="exact"/>
        <w:ind w:firstLine="480" w:firstLineChars="200"/>
        <w:rPr>
          <w:rFonts w:ascii="宋体" w:hAnsi="宋体"/>
          <w:sz w:val="24"/>
          <w:szCs w:val="24"/>
        </w:rPr>
      </w:pPr>
      <w:r>
        <w:rPr>
          <w:rFonts w:hint="eastAsia" w:ascii="宋体" w:hAnsi="宋体" w:eastAsia="宋体" w:cs="MingLiU"/>
          <w:color w:val="auto"/>
          <w:kern w:val="0"/>
          <w:sz w:val="24"/>
          <w:szCs w:val="22"/>
          <w:lang w:val="en-US" w:eastAsia="zh-CN" w:bidi="ar-SA"/>
        </w:rPr>
        <w:t>（四）低价风险担保缴纳承诺书</w:t>
      </w:r>
    </w:p>
    <w:p>
      <w:pPr>
        <w:spacing w:line="700" w:lineRule="exact"/>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spacing w:line="700" w:lineRule="exact"/>
        <w:ind w:firstLine="480" w:firstLineChars="200"/>
        <w:rPr>
          <w:rFonts w:ascii="宋体" w:hAnsi="宋体"/>
          <w:sz w:val="24"/>
          <w:szCs w:val="24"/>
        </w:rPr>
      </w:pPr>
      <w:r>
        <w:rPr>
          <w:rFonts w:ascii="宋体" w:hAnsi="宋体"/>
          <w:sz w:val="24"/>
          <w:szCs w:val="24"/>
        </w:rPr>
        <w:t>已标价工程量清单</w:t>
      </w:r>
    </w:p>
    <w:p>
      <w:pPr>
        <w:spacing w:line="700" w:lineRule="exact"/>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7" w:name="_Toc287607866"/>
      <w:bookmarkStart w:id="528" w:name="_Toc287620813"/>
      <w:bookmarkStart w:id="529" w:name="_Toc430530529"/>
      <w:bookmarkStart w:id="530" w:name="_Toc277082642"/>
      <w:bookmarkStart w:id="531" w:name="_Toc224103494"/>
    </w:p>
    <w:p>
      <w:pPr>
        <w:pStyle w:val="6"/>
        <w:jc w:val="center"/>
        <w:rPr>
          <w:rFonts w:ascii="宋体" w:hAnsi="宋体"/>
          <w:b w:val="0"/>
          <w:bCs w:val="0"/>
        </w:rPr>
      </w:pPr>
      <w:bookmarkStart w:id="532" w:name="_Toc18666"/>
      <w:bookmarkStart w:id="533" w:name="_Toc21513"/>
      <w:r>
        <w:rPr>
          <w:rFonts w:hint="eastAsia" w:ascii="宋体" w:hAnsi="宋体"/>
          <w:b w:val="0"/>
          <w:bCs w:val="0"/>
        </w:rPr>
        <w:t>一、投标函部分</w:t>
      </w:r>
      <w:bookmarkEnd w:id="527"/>
      <w:bookmarkEnd w:id="528"/>
      <w:bookmarkEnd w:id="529"/>
      <w:bookmarkEnd w:id="530"/>
      <w:bookmarkEnd w:id="531"/>
      <w:bookmarkEnd w:id="532"/>
      <w:bookmarkEnd w:id="533"/>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3"/>
        <w:rPr>
          <w:rFonts w:ascii="宋体" w:hAnsi="宋体"/>
          <w:kern w:val="0"/>
          <w:sz w:val="28"/>
          <w:szCs w:val="28"/>
          <w:u w:val="single"/>
        </w:rPr>
      </w:pPr>
    </w:p>
    <w:p>
      <w:pPr>
        <w:pStyle w:val="4"/>
        <w:rPr>
          <w:rFonts w:ascii="宋体" w:hAnsi="宋体"/>
          <w:kern w:val="0"/>
          <w:sz w:val="28"/>
          <w:szCs w:val="28"/>
          <w:u w:val="single"/>
        </w:rPr>
      </w:pPr>
    </w:p>
    <w:p>
      <w:pPr>
        <w:rPr>
          <w:rFonts w:ascii="宋体" w:hAnsi="宋体"/>
          <w:kern w:val="0"/>
          <w:sz w:val="28"/>
          <w:szCs w:val="28"/>
          <w:u w:val="single"/>
        </w:rPr>
      </w:pPr>
    </w:p>
    <w:p>
      <w:pPr>
        <w:pStyle w:val="3"/>
        <w:rPr>
          <w:rFonts w:ascii="宋体" w:hAnsi="宋体"/>
          <w:kern w:val="0"/>
          <w:sz w:val="28"/>
          <w:szCs w:val="28"/>
          <w:u w:val="single"/>
        </w:rPr>
      </w:pPr>
    </w:p>
    <w:p>
      <w:pPr>
        <w:pStyle w:val="4"/>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szCs w:val="24"/>
        </w:rPr>
      </w:pPr>
      <w:r>
        <w:rPr>
          <w:rFonts w:ascii="宋体" w:hAnsi="宋体"/>
          <w:kern w:val="0"/>
          <w:sz w:val="24"/>
          <w:szCs w:val="24"/>
        </w:rPr>
        <w:t>（一）投标函</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（二）投标函附录</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（三）法定代表人身份证明或附有法定代表人身份证明的授权委托书</w:t>
      </w:r>
    </w:p>
    <w:p>
      <w:pPr>
        <w:autoSpaceDE w:val="0"/>
        <w:autoSpaceDN w:val="0"/>
        <w:adjustRightInd w:val="0"/>
        <w:spacing w:line="700" w:lineRule="exact"/>
        <w:ind w:firstLine="480" w:firstLineChars="200"/>
        <w:jc w:val="left"/>
        <w:rPr>
          <w:rFonts w:hint="eastAsia" w:ascii="宋体" w:hAnsi="宋体" w:eastAsia="宋体"/>
          <w:kern w:val="0"/>
          <w:sz w:val="24"/>
          <w:szCs w:val="24"/>
          <w:lang w:val="en-US" w:eastAsia="zh-CN"/>
        </w:rPr>
      </w:pPr>
      <w:bookmarkStart w:id="534" w:name="_Toc509218854"/>
      <w:bookmarkStart w:id="535" w:name="_Toc224103495"/>
      <w:bookmarkStart w:id="536" w:name="_Toc534185831"/>
      <w:bookmarkStart w:id="537" w:name="_Toc277082643"/>
      <w:bookmarkStart w:id="538" w:name="_Toc287620814"/>
      <w:bookmarkStart w:id="539" w:name="_Toc430530530"/>
      <w:bookmarkStart w:id="540" w:name="_Toc24900"/>
      <w:bookmarkStart w:id="541" w:name="_Toc287607867"/>
      <w:bookmarkStart w:id="542" w:name="_Toc21159"/>
      <w:r>
        <w:rPr>
          <w:rFonts w:hint="eastAsia" w:ascii="宋体" w:hAnsi="宋体" w:eastAsia="宋体"/>
          <w:kern w:val="0"/>
          <w:sz w:val="24"/>
          <w:szCs w:val="24"/>
          <w:lang w:val="en-US" w:eastAsia="zh-CN"/>
        </w:rPr>
        <w:t>（四）低价风险担保缴纳承诺书</w:t>
      </w:r>
    </w:p>
    <w:p>
      <w:pPr>
        <w:rPr>
          <w:rFonts w:hint="eastAsia" w:ascii="宋体" w:hAnsi="宋体"/>
          <w:b w:val="0"/>
          <w:bCs w:val="0"/>
        </w:rPr>
      </w:pPr>
    </w:p>
    <w:p>
      <w:pPr>
        <w:rPr>
          <w:rFonts w:hint="eastAsia" w:ascii="宋体" w:hAnsi="宋体"/>
          <w:b w:val="0"/>
          <w:bCs w:val="0"/>
        </w:rPr>
      </w:pPr>
      <w:r>
        <w:rPr>
          <w:rFonts w:hint="eastAsia" w:ascii="宋体" w:hAnsi="宋体"/>
          <w:b w:val="0"/>
          <w:bCs w:val="0"/>
        </w:rPr>
        <w:br w:type="page"/>
      </w:r>
    </w:p>
    <w:p>
      <w:pPr>
        <w:pStyle w:val="7"/>
        <w:snapToGrid/>
        <w:spacing w:line="480" w:lineRule="exact"/>
        <w:rPr>
          <w:rFonts w:ascii="宋体" w:hAnsi="宋体"/>
          <w:b w:val="0"/>
        </w:rPr>
      </w:pPr>
      <w:r>
        <w:rPr>
          <w:rFonts w:hint="eastAsia" w:ascii="宋体" w:hAnsi="宋体"/>
          <w:b w:val="0"/>
          <w:bCs w:val="0"/>
        </w:rPr>
        <w:t>（一）投标函</w:t>
      </w:r>
      <w:bookmarkEnd w:id="534"/>
      <w:bookmarkEnd w:id="535"/>
      <w:bookmarkEnd w:id="536"/>
      <w:bookmarkEnd w:id="537"/>
      <w:bookmarkEnd w:id="538"/>
      <w:bookmarkEnd w:id="539"/>
      <w:bookmarkEnd w:id="540"/>
      <w:bookmarkEnd w:id="541"/>
      <w:bookmarkEnd w:id="542"/>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7"/>
        <w:numPr>
          <w:ilvl w:val="0"/>
          <w:numId w:val="8"/>
        </w:numPr>
        <w:spacing w:line="240" w:lineRule="auto"/>
        <w:rPr>
          <w:rFonts w:ascii="宋体" w:hAnsi="宋体"/>
          <w:b w:val="0"/>
          <w:bCs w:val="0"/>
        </w:rPr>
      </w:pPr>
      <w:bookmarkStart w:id="543" w:name="_Toc287620815"/>
      <w:bookmarkStart w:id="544" w:name="_Toc287607868"/>
      <w:bookmarkStart w:id="545" w:name="_Toc430530531"/>
      <w:bookmarkStart w:id="546" w:name="_Toc277082644"/>
      <w:bookmarkStart w:id="547" w:name="_Toc224103496"/>
      <w:r>
        <w:rPr>
          <w:rFonts w:ascii="宋体" w:hAnsi="宋体"/>
          <w:sz w:val="28"/>
        </w:rPr>
        <w:br w:type="page"/>
      </w:r>
      <w:bookmarkStart w:id="548" w:name="_Toc534185832"/>
      <w:bookmarkStart w:id="549" w:name="_Toc14835"/>
      <w:bookmarkStart w:id="550" w:name="_Toc509218855"/>
      <w:bookmarkStart w:id="551" w:name="_Toc18360"/>
      <w:r>
        <w:rPr>
          <w:rFonts w:ascii="宋体" w:hAnsi="宋体"/>
          <w:b w:val="0"/>
          <w:bCs w:val="0"/>
        </w:rPr>
        <w:t>投标函附录</w:t>
      </w:r>
      <w:bookmarkEnd w:id="543"/>
      <w:bookmarkEnd w:id="544"/>
      <w:bookmarkEnd w:id="545"/>
      <w:bookmarkEnd w:id="546"/>
      <w:bookmarkEnd w:id="547"/>
      <w:bookmarkEnd w:id="548"/>
      <w:bookmarkEnd w:id="549"/>
      <w:bookmarkEnd w:id="550"/>
      <w:bookmarkEnd w:id="551"/>
    </w:p>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7"/>
        <w:spacing w:line="240" w:lineRule="auto"/>
        <w:rPr>
          <w:rFonts w:ascii="宋体" w:hAnsi="宋体"/>
          <w:snapToGrid w:val="0"/>
          <w:kern w:val="0"/>
          <w:szCs w:val="21"/>
        </w:rPr>
      </w:pPr>
      <w:r>
        <w:rPr>
          <w:rFonts w:ascii="宋体" w:hAnsi="宋体"/>
          <w:snapToGrid w:val="0"/>
        </w:rPr>
        <w:br w:type="page"/>
      </w:r>
      <w:bookmarkStart w:id="552" w:name="_Toc27100"/>
      <w:bookmarkStart w:id="553" w:name="_Toc277082645"/>
      <w:bookmarkStart w:id="554" w:name="_Toc3126"/>
      <w:bookmarkStart w:id="555" w:name="_Toc287620816"/>
      <w:bookmarkStart w:id="556" w:name="_Toc287607869"/>
      <w:bookmarkStart w:id="557" w:name="_Toc224103497"/>
      <w:bookmarkStart w:id="558" w:name="_Toc430530532"/>
      <w:r>
        <w:rPr>
          <w:rFonts w:ascii="宋体" w:hAnsi="宋体"/>
          <w:b w:val="0"/>
          <w:bCs w:val="0"/>
        </w:rPr>
        <w:t>（三）</w:t>
      </w:r>
      <w:r>
        <w:rPr>
          <w:rFonts w:hint="eastAsia" w:ascii="宋体" w:hAnsi="宋体"/>
          <w:b w:val="0"/>
          <w:bCs w:val="0"/>
        </w:rPr>
        <w:t>法定代表人身份证明或附有法定代表人身份证明的授权委托书</w:t>
      </w:r>
      <w:bookmarkEnd w:id="552"/>
      <w:bookmarkEnd w:id="553"/>
      <w:bookmarkEnd w:id="554"/>
      <w:bookmarkEnd w:id="555"/>
      <w:bookmarkEnd w:id="556"/>
      <w:bookmarkEnd w:id="557"/>
      <w:bookmarkEnd w:id="55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3"/>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rPr>
      </w:pPr>
    </w:p>
    <w:p>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3"/>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rPr>
          <w:rFonts w:ascii="宋体" w:hAnsi="宋体"/>
          <w:snapToGrid w:val="0"/>
          <w:kern w:val="0"/>
          <w:sz w:val="32"/>
          <w:szCs w:val="32"/>
        </w:rPr>
      </w:pPr>
      <w:bookmarkStart w:id="559" w:name="_Toc224103499"/>
      <w:bookmarkStart w:id="560" w:name="_Toc277082647"/>
      <w:bookmarkStart w:id="561" w:name="_Toc287620818"/>
      <w:bookmarkStart w:id="562" w:name="_Toc287607871"/>
      <w:bookmarkStart w:id="563" w:name="_Toc430530533"/>
    </w:p>
    <w:bookmarkEnd w:id="559"/>
    <w:bookmarkEnd w:id="560"/>
    <w:bookmarkEnd w:id="561"/>
    <w:bookmarkEnd w:id="562"/>
    <w:bookmarkEnd w:id="563"/>
    <w:p>
      <w:pPr>
        <w:pStyle w:val="6"/>
        <w:jc w:val="center"/>
        <w:rPr>
          <w:rFonts w:ascii="宋体" w:hAnsi="宋体"/>
          <w:b w:val="0"/>
          <w:bCs w:val="0"/>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64" w:name="_Toc224103500"/>
      <w:bookmarkStart w:id="565" w:name="_Toc287620819"/>
      <w:bookmarkStart w:id="566" w:name="_Toc6386"/>
      <w:bookmarkStart w:id="567" w:name="_Toc6971"/>
      <w:bookmarkStart w:id="568" w:name="_Toc287607872"/>
      <w:bookmarkStart w:id="569" w:name="_Toc430530534"/>
    </w:p>
    <w:p>
      <w:pPr>
        <w:pStyle w:val="7"/>
        <w:spacing w:line="700" w:lineRule="exact"/>
        <w:rPr>
          <w:rFonts w:ascii="宋体" w:hAnsi="宋体"/>
          <w:snapToGrid w:val="0"/>
          <w:color w:val="auto"/>
          <w:kern w:val="0"/>
        </w:rPr>
      </w:pPr>
      <w:bookmarkStart w:id="570" w:name="_Toc277082646"/>
      <w:bookmarkStart w:id="571" w:name="_Toc287607870"/>
      <w:bookmarkStart w:id="572" w:name="_Toc287620817"/>
      <w:bookmarkStart w:id="573" w:name="_Toc224103498"/>
      <w:bookmarkStart w:id="574" w:name="_Toc3760"/>
      <w:bookmarkStart w:id="575" w:name="_Toc12381"/>
      <w:r>
        <w:rPr>
          <w:rFonts w:ascii="宋体" w:hAnsi="宋体"/>
          <w:b w:val="0"/>
          <w:bCs w:val="0"/>
          <w:color w:val="auto"/>
        </w:rPr>
        <w:t>（四）</w:t>
      </w:r>
      <w:bookmarkEnd w:id="570"/>
      <w:bookmarkEnd w:id="571"/>
      <w:bookmarkEnd w:id="572"/>
      <w:bookmarkEnd w:id="573"/>
      <w:r>
        <w:rPr>
          <w:rFonts w:hint="eastAsia" w:ascii="宋体" w:hAnsi="宋体"/>
          <w:b w:val="0"/>
          <w:bCs w:val="0"/>
          <w:color w:val="auto"/>
        </w:rPr>
        <w:t>低价风险担保提交承诺书</w:t>
      </w:r>
      <w:bookmarkEnd w:id="574"/>
      <w:bookmarkEnd w:id="575"/>
    </w:p>
    <w:p>
      <w:pPr>
        <w:autoSpaceDE w:val="0"/>
        <w:autoSpaceDN w:val="0"/>
        <w:adjustRightInd w:val="0"/>
        <w:snapToGrid w:val="0"/>
        <w:spacing w:line="700" w:lineRule="exact"/>
        <w:jc w:val="center"/>
        <w:rPr>
          <w:rFonts w:ascii="宋体" w:hAnsi="宋体"/>
          <w:snapToGrid w:val="0"/>
          <w:color w:val="auto"/>
          <w:kern w:val="0"/>
          <w:sz w:val="32"/>
          <w:szCs w:val="32"/>
        </w:rPr>
      </w:pPr>
      <w:r>
        <w:rPr>
          <w:rFonts w:hint="eastAsia" w:ascii="宋体" w:hAnsi="宋体"/>
          <w:snapToGrid w:val="0"/>
          <w:color w:val="auto"/>
          <w:kern w:val="0"/>
          <w:sz w:val="32"/>
          <w:szCs w:val="32"/>
        </w:rPr>
        <w:t>（投标报价低于招标项目最高限价的85%时采用）</w:t>
      </w:r>
    </w:p>
    <w:p>
      <w:pPr>
        <w:autoSpaceDE w:val="0"/>
        <w:autoSpaceDN w:val="0"/>
        <w:adjustRightInd w:val="0"/>
        <w:snapToGrid w:val="0"/>
        <w:spacing w:line="700" w:lineRule="exact"/>
        <w:jc w:val="center"/>
        <w:rPr>
          <w:rFonts w:ascii="宋体" w:hAnsi="宋体"/>
          <w:snapToGrid w:val="0"/>
          <w:color w:val="auto"/>
          <w:kern w:val="0"/>
          <w:sz w:val="32"/>
          <w:szCs w:val="32"/>
        </w:rPr>
      </w:pPr>
    </w:p>
    <w:p>
      <w:pPr>
        <w:autoSpaceDE w:val="0"/>
        <w:autoSpaceDN w:val="0"/>
        <w:adjustRightInd w:val="0"/>
        <w:snapToGrid w:val="0"/>
        <w:spacing w:line="700" w:lineRule="exact"/>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（招标人名称）</w:t>
      </w:r>
      <w:r>
        <w:rPr>
          <w:rFonts w:hint="eastAsia" w:ascii="宋体" w:hAnsi="宋体" w:cs="宋体"/>
          <w:snapToGrid w:val="0"/>
          <w:color w:val="auto"/>
          <w:kern w:val="0"/>
          <w:szCs w:val="21"/>
        </w:rPr>
        <w:t>：</w:t>
      </w:r>
    </w:p>
    <w:p>
      <w:pPr>
        <w:autoSpaceDE w:val="0"/>
        <w:autoSpaceDN w:val="0"/>
        <w:adjustRightInd w:val="0"/>
        <w:snapToGrid w:val="0"/>
        <w:spacing w:line="7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参加了你单位</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700" w:lineRule="exact"/>
        <w:ind w:firstLine="640"/>
        <w:rPr>
          <w:rFonts w:ascii="宋体" w:hAnsi="宋体" w:cs="宋体"/>
          <w:snapToGrid w:val="0"/>
          <w:color w:val="auto"/>
          <w:kern w:val="0"/>
          <w:szCs w:val="21"/>
        </w:rPr>
      </w:pPr>
    </w:p>
    <w:p>
      <w:pPr>
        <w:autoSpaceDE w:val="0"/>
        <w:autoSpaceDN w:val="0"/>
        <w:adjustRightInd w:val="0"/>
        <w:snapToGrid w:val="0"/>
        <w:spacing w:line="700" w:lineRule="exact"/>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pPr>
        <w:autoSpaceDE w:val="0"/>
        <w:autoSpaceDN w:val="0"/>
        <w:adjustRightInd w:val="0"/>
        <w:snapToGrid w:val="0"/>
        <w:spacing w:line="700" w:lineRule="exact"/>
        <w:rPr>
          <w:rFonts w:ascii="宋体" w:hAnsi="宋体" w:cs="宋体"/>
          <w:snapToGrid w:val="0"/>
          <w:color w:val="auto"/>
          <w:kern w:val="0"/>
          <w:sz w:val="32"/>
          <w:szCs w:val="32"/>
        </w:rPr>
      </w:pPr>
    </w:p>
    <w:p>
      <w:pPr>
        <w:autoSpaceDE w:val="0"/>
        <w:autoSpaceDN w:val="0"/>
        <w:adjustRightInd w:val="0"/>
        <w:snapToGrid w:val="0"/>
        <w:spacing w:line="700" w:lineRule="exact"/>
        <w:ind w:firstLine="640"/>
        <w:rPr>
          <w:rFonts w:ascii="宋体" w:hAnsi="宋体" w:cs="宋体"/>
          <w:snapToGrid w:val="0"/>
          <w:color w:val="auto"/>
          <w:kern w:val="0"/>
          <w:sz w:val="32"/>
          <w:szCs w:val="32"/>
        </w:rPr>
      </w:pPr>
    </w:p>
    <w:p>
      <w:pPr>
        <w:tabs>
          <w:tab w:val="left" w:pos="4200"/>
          <w:tab w:val="left" w:pos="462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7140"/>
          <w:tab w:val="left" w:pos="7560"/>
          <w:tab w:val="left" w:pos="8300"/>
        </w:tabs>
        <w:autoSpaceDE w:val="0"/>
        <w:autoSpaceDN w:val="0"/>
        <w:adjustRightInd w:val="0"/>
        <w:spacing w:line="700" w:lineRule="exact"/>
        <w:ind w:firstLine="420" w:firstLineChars="200"/>
        <w:rPr>
          <w:rFonts w:ascii="宋体" w:hAnsi="宋体"/>
          <w:snapToGrid w:val="0"/>
          <w:color w:val="auto"/>
          <w:kern w:val="0"/>
          <w:szCs w:val="21"/>
        </w:rPr>
      </w:pPr>
    </w:p>
    <w:p>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autoSpaceDE w:val="0"/>
        <w:autoSpaceDN w:val="0"/>
        <w:adjustRightInd w:val="0"/>
        <w:snapToGrid w:val="0"/>
        <w:spacing w:line="360" w:lineRule="auto"/>
        <w:ind w:firstLine="640"/>
        <w:rPr>
          <w:rFonts w:ascii="宋体" w:hAnsi="宋体" w:cs="宋体"/>
          <w:snapToGrid w:val="0"/>
          <w:color w:val="auto"/>
          <w:kern w:val="0"/>
          <w:sz w:val="32"/>
          <w:szCs w:val="32"/>
        </w:rPr>
      </w:pPr>
    </w:p>
    <w:p>
      <w:pPr>
        <w:autoSpaceDE w:val="0"/>
        <w:autoSpaceDN w:val="0"/>
        <w:adjustRightInd w:val="0"/>
        <w:snapToGrid w:val="0"/>
        <w:spacing w:line="360" w:lineRule="auto"/>
        <w:jc w:val="both"/>
        <w:rPr>
          <w:rFonts w:hint="eastAsia" w:ascii="宋体" w:hAnsi="宋体" w:eastAsia="宋体"/>
          <w:snapToGrid w:val="0"/>
          <w:color w:val="auto"/>
          <w:kern w:val="0"/>
          <w:sz w:val="32"/>
          <w:szCs w:val="32"/>
          <w:lang w:eastAsia="zh-CN"/>
        </w:rPr>
      </w:pPr>
    </w:p>
    <w:p>
      <w:pPr>
        <w:pStyle w:val="3"/>
        <w:rPr>
          <w:rFonts w:hint="eastAsia" w:ascii="宋体" w:hAnsi="宋体" w:eastAsia="宋体"/>
          <w:snapToGrid w:val="0"/>
          <w:color w:val="auto"/>
          <w:kern w:val="0"/>
          <w:sz w:val="32"/>
          <w:szCs w:val="32"/>
          <w:lang w:eastAsia="zh-CN"/>
        </w:rPr>
      </w:pPr>
    </w:p>
    <w:p>
      <w:pPr>
        <w:pStyle w:val="6"/>
        <w:jc w:val="center"/>
        <w:rPr>
          <w:rFonts w:hint="eastAsia" w:ascii="宋体" w:hAnsi="宋体"/>
          <w:b w:val="0"/>
          <w:bCs w:val="0"/>
        </w:rPr>
      </w:pPr>
    </w:p>
    <w:p>
      <w:pPr>
        <w:pStyle w:val="6"/>
        <w:jc w:val="center"/>
        <w:rPr>
          <w:rFonts w:ascii="宋体" w:hAnsi="宋体"/>
          <w:b w:val="0"/>
          <w:bCs w:val="0"/>
        </w:rPr>
      </w:pPr>
      <w:r>
        <w:rPr>
          <w:rFonts w:hint="eastAsia" w:ascii="宋体" w:hAnsi="宋体"/>
          <w:b w:val="0"/>
          <w:bCs w:val="0"/>
        </w:rPr>
        <w:t>二、经济部分</w:t>
      </w:r>
      <w:bookmarkEnd w:id="564"/>
      <w:bookmarkEnd w:id="565"/>
      <w:bookmarkEnd w:id="566"/>
      <w:bookmarkEnd w:id="567"/>
      <w:bookmarkEnd w:id="568"/>
      <w:bookmarkEnd w:id="569"/>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7"/>
        <w:spacing w:line="240" w:lineRule="auto"/>
        <w:rPr>
          <w:rFonts w:ascii="宋体" w:hAnsi="宋体"/>
          <w:b w:val="0"/>
          <w:bCs w:val="0"/>
        </w:rPr>
      </w:pPr>
      <w:bookmarkStart w:id="576" w:name="_Toc430530535"/>
      <w:bookmarkStart w:id="577" w:name="_Toc224103501"/>
      <w:bookmarkStart w:id="578" w:name="_Toc287620820"/>
      <w:bookmarkStart w:id="579" w:name="_Toc287607873"/>
      <w:bookmarkStart w:id="580" w:name="_Toc277082648"/>
      <w:r>
        <w:rPr>
          <w:rFonts w:ascii="宋体" w:hAnsi="宋体"/>
          <w:b w:val="0"/>
          <w:bCs w:val="0"/>
          <w:kern w:val="0"/>
          <w:sz w:val="21"/>
          <w:szCs w:val="21"/>
        </w:rPr>
        <w:br w:type="page"/>
      </w:r>
      <w:bookmarkStart w:id="581" w:name="_Toc8771"/>
      <w:bookmarkStart w:id="582" w:name="_Toc31355"/>
      <w:bookmarkStart w:id="583" w:name="_Toc29951"/>
      <w:r>
        <w:rPr>
          <w:rFonts w:hint="eastAsia" w:ascii="宋体" w:hAnsi="宋体"/>
          <w:b w:val="0"/>
          <w:bCs w:val="0"/>
        </w:rPr>
        <w:t>（一）已标价工程量清单</w:t>
      </w:r>
      <w:bookmarkEnd w:id="576"/>
      <w:bookmarkEnd w:id="577"/>
      <w:bookmarkEnd w:id="578"/>
      <w:bookmarkEnd w:id="579"/>
      <w:bookmarkEnd w:id="580"/>
      <w:bookmarkEnd w:id="581"/>
      <w:bookmarkEnd w:id="582"/>
      <w:bookmarkEnd w:id="583"/>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6"/>
        <w:rPr>
          <w:rFonts w:ascii="宋体" w:hAnsi="宋体"/>
          <w:kern w:val="0"/>
          <w:sz w:val="24"/>
          <w:szCs w:val="21"/>
        </w:rPr>
      </w:pPr>
      <w:bookmarkStart w:id="584" w:name="_Toc287620821"/>
      <w:bookmarkStart w:id="585" w:name="_Toc287607874"/>
      <w:bookmarkStart w:id="586" w:name="_Toc224103502"/>
      <w:bookmarkStart w:id="587" w:name="_Toc430530536"/>
      <w:r>
        <w:rPr>
          <w:rFonts w:ascii="宋体" w:hAnsi="宋体"/>
        </w:rPr>
        <w:br w:type="page"/>
      </w:r>
    </w:p>
    <w:p>
      <w:pPr>
        <w:pStyle w:val="6"/>
        <w:jc w:val="center"/>
        <w:rPr>
          <w:rFonts w:ascii="宋体" w:hAnsi="宋体"/>
          <w:b w:val="0"/>
          <w:bCs w:val="0"/>
        </w:rPr>
      </w:pPr>
      <w:bookmarkStart w:id="588" w:name="_Toc11334"/>
      <w:bookmarkStart w:id="589" w:name="_Toc13970"/>
      <w:r>
        <w:rPr>
          <w:rFonts w:hint="eastAsia" w:ascii="宋体" w:hAnsi="宋体"/>
          <w:b w:val="0"/>
          <w:bCs w:val="0"/>
        </w:rPr>
        <w:t>三、</w:t>
      </w:r>
      <w:bookmarkEnd w:id="584"/>
      <w:bookmarkEnd w:id="585"/>
      <w:bookmarkEnd w:id="586"/>
      <w:bookmarkEnd w:id="587"/>
      <w:r>
        <w:rPr>
          <w:rFonts w:hint="eastAsia" w:ascii="宋体" w:hAnsi="宋体"/>
          <w:b w:val="0"/>
          <w:bCs w:val="0"/>
        </w:rPr>
        <w:t>资格审查部分</w:t>
      </w:r>
      <w:bookmarkEnd w:id="588"/>
      <w:bookmarkEnd w:id="589"/>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jc w:val="left"/>
        <w:rPr>
          <w:rFonts w:ascii="宋体" w:hAnsi="宋体"/>
          <w:b/>
          <w:kern w:val="0"/>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spacing w:line="360" w:lineRule="auto"/>
        <w:jc w:val="center"/>
        <w:rPr>
          <w:rFonts w:ascii="宋体" w:hAnsi="宋体"/>
          <w:b/>
          <w:kern w:val="0"/>
          <w:sz w:val="32"/>
          <w:szCs w:val="32"/>
        </w:rPr>
      </w:pPr>
    </w:p>
    <w:p>
      <w:pPr>
        <w:pStyle w:val="7"/>
        <w:spacing w:line="240" w:lineRule="auto"/>
        <w:rPr>
          <w:rFonts w:ascii="宋体" w:hAnsi="宋体"/>
          <w:sz w:val="36"/>
          <w:szCs w:val="36"/>
        </w:rPr>
      </w:pPr>
      <w:r>
        <w:rPr>
          <w:rFonts w:ascii="宋体" w:hAnsi="宋体"/>
        </w:rPr>
        <w:br w:type="page"/>
      </w:r>
      <w:bookmarkStart w:id="590" w:name="_Toc287607883"/>
      <w:bookmarkStart w:id="591" w:name="_Toc430530546"/>
      <w:bookmarkStart w:id="592" w:name="_Toc287620830"/>
      <w:bookmarkStart w:id="593" w:name="_Toc224103511"/>
      <w:bookmarkStart w:id="594" w:name="_Toc19892"/>
      <w:bookmarkStart w:id="595" w:name="_Toc277082657"/>
      <w:bookmarkStart w:id="596" w:name="_Toc15507"/>
      <w:r>
        <w:rPr>
          <w:rFonts w:hint="eastAsia" w:ascii="宋体" w:hAnsi="宋体"/>
          <w:b w:val="0"/>
          <w:bCs w:val="0"/>
        </w:rPr>
        <w:t>（一）法定代表人身份证明或附有法定代表人身份证明的授权委托书</w:t>
      </w:r>
      <w:bookmarkEnd w:id="590"/>
      <w:bookmarkEnd w:id="591"/>
      <w:bookmarkEnd w:id="592"/>
      <w:bookmarkEnd w:id="593"/>
      <w:bookmarkEnd w:id="594"/>
      <w:bookmarkEnd w:id="595"/>
      <w:bookmarkEnd w:id="59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7"/>
        <w:spacing w:line="240" w:lineRule="auto"/>
        <w:rPr>
          <w:rFonts w:ascii="宋体" w:hAnsi="宋体"/>
        </w:rPr>
      </w:pPr>
      <w:bookmarkStart w:id="597" w:name="_Toc430530547"/>
      <w:bookmarkStart w:id="598" w:name="_Toc287620831"/>
      <w:bookmarkStart w:id="599" w:name="_Toc224103512"/>
      <w:bookmarkStart w:id="600" w:name="_Toc287607884"/>
      <w:bookmarkStart w:id="601" w:name="_Toc277082658"/>
      <w:bookmarkStart w:id="602" w:name="_Toc9914"/>
      <w:bookmarkStart w:id="603" w:name="_Toc5288"/>
      <w:r>
        <w:rPr>
          <w:rFonts w:hint="eastAsia" w:ascii="宋体" w:hAnsi="宋体"/>
          <w:b w:val="0"/>
          <w:bCs w:val="0"/>
        </w:rPr>
        <w:t>（二）</w:t>
      </w:r>
      <w:bookmarkEnd w:id="597"/>
      <w:bookmarkEnd w:id="598"/>
      <w:bookmarkEnd w:id="599"/>
      <w:bookmarkEnd w:id="600"/>
      <w:bookmarkEnd w:id="601"/>
      <w:bookmarkStart w:id="604" w:name="_Toc287607887"/>
      <w:bookmarkStart w:id="605" w:name="_Toc277082659"/>
      <w:r>
        <w:rPr>
          <w:rFonts w:hint="eastAsia" w:ascii="宋体" w:hAnsi="宋体"/>
          <w:b w:val="0"/>
          <w:bCs w:val="0"/>
        </w:rPr>
        <w:t>投标人基本情况表</w:t>
      </w:r>
      <w:bookmarkEnd w:id="602"/>
      <w:bookmarkEnd w:id="603"/>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7"/>
        <w:spacing w:line="240" w:lineRule="auto"/>
        <w:rPr>
          <w:rFonts w:ascii="宋体" w:hAnsi="宋体"/>
        </w:rPr>
      </w:pPr>
      <w:r>
        <w:rPr>
          <w:rFonts w:ascii="宋体" w:hAnsi="宋体"/>
          <w:szCs w:val="21"/>
        </w:rPr>
        <w:br w:type="page"/>
      </w:r>
      <w:bookmarkStart w:id="606" w:name="_Toc509218863"/>
      <w:bookmarkStart w:id="607" w:name="_Toc3838"/>
      <w:bookmarkStart w:id="608" w:name="_Toc534185840"/>
      <w:bookmarkStart w:id="609" w:name="_Toc25844"/>
      <w:r>
        <w:rPr>
          <w:rFonts w:hint="eastAsia" w:ascii="宋体" w:hAnsi="宋体"/>
          <w:b w:val="0"/>
          <w:bCs w:val="0"/>
        </w:rPr>
        <w:t>（三）项目管理机构</w:t>
      </w:r>
      <w:bookmarkEnd w:id="606"/>
      <w:bookmarkEnd w:id="607"/>
      <w:bookmarkEnd w:id="608"/>
      <w:bookmarkEnd w:id="609"/>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kern w:val="0"/>
                <w:szCs w:val="21"/>
              </w:rPr>
            </w:pPr>
          </w:p>
        </w:tc>
        <w:tc>
          <w:tcPr>
            <w:tcW w:w="705" w:type="dxa"/>
            <w:vMerge w:val="continue"/>
          </w:tcPr>
          <w:p>
            <w:pPr>
              <w:autoSpaceDE w:val="0"/>
              <w:autoSpaceDN w:val="0"/>
              <w:adjustRightInd w:val="0"/>
              <w:snapToGrid w:val="0"/>
              <w:jc w:val="left"/>
              <w:rPr>
                <w:rFonts w:ascii="宋体" w:hAnsi="宋体"/>
                <w:kern w:val="0"/>
                <w:szCs w:val="21"/>
              </w:rPr>
            </w:pPr>
          </w:p>
        </w:tc>
        <w:tc>
          <w:tcPr>
            <w:tcW w:w="795" w:type="dxa"/>
            <w:vMerge w:val="continue"/>
          </w:tcPr>
          <w:p>
            <w:pPr>
              <w:autoSpaceDE w:val="0"/>
              <w:autoSpaceDN w:val="0"/>
              <w:adjustRightInd w:val="0"/>
              <w:snapToGrid w:val="0"/>
              <w:jc w:val="left"/>
              <w:rPr>
                <w:rFonts w:ascii="宋体" w:hAnsi="宋体"/>
                <w:kern w:val="0"/>
                <w:szCs w:val="21"/>
              </w:rPr>
            </w:pPr>
          </w:p>
        </w:tc>
        <w:tc>
          <w:tcPr>
            <w:tcW w:w="120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604"/>
      <w:bookmarkEnd w:id="605"/>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10" w:name="_Toc224103515"/>
    </w:p>
    <w:bookmarkEnd w:id="610"/>
    <w:p>
      <w:pPr>
        <w:pStyle w:val="7"/>
        <w:spacing w:line="360" w:lineRule="auto"/>
        <w:rPr>
          <w:rFonts w:ascii="宋体" w:hAnsi="宋体"/>
          <w:b w:val="0"/>
        </w:rPr>
      </w:pPr>
      <w:bookmarkStart w:id="611" w:name="_Toc534185843"/>
      <w:bookmarkStart w:id="612" w:name="_Toc224103520"/>
      <w:bookmarkStart w:id="613" w:name="_Toc430530552"/>
      <w:bookmarkStart w:id="614" w:name="_Toc287607893"/>
      <w:bookmarkStart w:id="615" w:name="_Toc277082663"/>
      <w:bookmarkStart w:id="616" w:name="_Toc287620839"/>
      <w:bookmarkStart w:id="617" w:name="_Toc509218866"/>
      <w:bookmarkStart w:id="618" w:name="_Toc26467"/>
      <w:bookmarkStart w:id="619" w:name="_Toc1320"/>
      <w:r>
        <w:rPr>
          <w:rFonts w:ascii="宋体" w:hAnsi="宋体"/>
          <w:b w:val="0"/>
        </w:rPr>
        <w:t>（</w:t>
      </w:r>
      <w:r>
        <w:rPr>
          <w:rFonts w:hint="eastAsia" w:ascii="宋体" w:hAnsi="宋体"/>
          <w:b w:val="0"/>
        </w:rPr>
        <w:t>四</w:t>
      </w:r>
      <w:r>
        <w:rPr>
          <w:rFonts w:ascii="宋体" w:hAnsi="宋体"/>
          <w:b w:val="0"/>
        </w:rPr>
        <w:t>）</w:t>
      </w:r>
      <w:bookmarkEnd w:id="611"/>
      <w:bookmarkEnd w:id="612"/>
      <w:bookmarkEnd w:id="613"/>
      <w:bookmarkEnd w:id="614"/>
      <w:bookmarkEnd w:id="615"/>
      <w:bookmarkEnd w:id="616"/>
      <w:bookmarkEnd w:id="617"/>
      <w:r>
        <w:rPr>
          <w:rFonts w:hint="eastAsia" w:ascii="宋体" w:hAnsi="宋体"/>
          <w:b w:val="0"/>
        </w:rPr>
        <w:t>承诺</w:t>
      </w:r>
      <w:bookmarkEnd w:id="618"/>
      <w:bookmarkEnd w:id="619"/>
    </w:p>
    <w:p>
      <w:pPr>
        <w:snapToGrid w:val="0"/>
        <w:spacing w:line="50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pPr>
        <w:snapToGrid w:val="0"/>
        <w:spacing w:line="5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50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5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5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50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50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50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50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50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合同条款及格式规定，投标文件中没有招标人不能接受的条件。</w:t>
      </w:r>
    </w:p>
    <w:p>
      <w:pPr>
        <w:snapToGrid w:val="0"/>
        <w:spacing w:line="50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500" w:lineRule="exact"/>
        <w:ind w:firstLine="420" w:firstLineChars="200"/>
        <w:rPr>
          <w:rFonts w:ascii="宋体" w:hAnsi="宋体"/>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5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500" w:lineRule="exact"/>
      </w:pPr>
    </w:p>
    <w:p>
      <w:pPr>
        <w:spacing w:line="500" w:lineRule="exact"/>
        <w:jc w:val="center"/>
        <w:rPr>
          <w:rFonts w:ascii="宋体" w:hAnsi="宋体"/>
          <w:bCs/>
          <w:sz w:val="32"/>
          <w:szCs w:val="32"/>
        </w:rPr>
      </w:pPr>
      <w:r>
        <w:br w:type="page"/>
      </w:r>
    </w:p>
    <w:p>
      <w:pPr>
        <w:jc w:val="center"/>
        <w:rPr>
          <w:rFonts w:ascii="宋体" w:hAnsi="宋体"/>
          <w:bCs/>
          <w:sz w:val="32"/>
          <w:szCs w:val="32"/>
        </w:rPr>
      </w:pPr>
      <w:bookmarkStart w:id="620" w:name="_Toc24788"/>
      <w:bookmarkStart w:id="621" w:name="_Toc14813"/>
      <w:r>
        <w:rPr>
          <w:rFonts w:hint="eastAsia" w:ascii="宋体" w:hAnsi="宋体"/>
          <w:bCs/>
          <w:sz w:val="32"/>
          <w:szCs w:val="32"/>
        </w:rPr>
        <w:t>（五）其他资料</w:t>
      </w:r>
      <w:bookmarkEnd w:id="620"/>
      <w:bookmarkEnd w:id="621"/>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5"/>
    <w:multiLevelType w:val="multilevel"/>
    <w:tmpl w:val="00000005"/>
    <w:lvl w:ilvl="0" w:tentative="0">
      <w:start w:val="1"/>
      <w:numFmt w:val="decimal"/>
      <w:pStyle w:val="16"/>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2">
    <w:nsid w:val="0000000D"/>
    <w:multiLevelType w:val="multilevel"/>
    <w:tmpl w:val="0000000D"/>
    <w:lvl w:ilvl="0" w:tentative="0">
      <w:start w:val="1"/>
      <w:numFmt w:val="decimal"/>
      <w:pStyle w:val="24"/>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F"/>
    <w:multiLevelType w:val="multilevel"/>
    <w:tmpl w:val="0000000F"/>
    <w:lvl w:ilvl="0" w:tentative="0">
      <w:start w:val="1"/>
      <w:numFmt w:val="bullet"/>
      <w:pStyle w:val="21"/>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1"/>
    <w:multiLevelType w:val="singleLevel"/>
    <w:tmpl w:val="00000011"/>
    <w:lvl w:ilvl="0" w:tentative="0">
      <w:start w:val="23"/>
      <w:numFmt w:val="decimal"/>
      <w:suff w:val="space"/>
      <w:lvlText w:val="%1."/>
      <w:lvlJc w:val="left"/>
    </w:lvl>
  </w:abstractNum>
  <w:abstractNum w:abstractNumId="5">
    <w:nsid w:val="00000013"/>
    <w:multiLevelType w:val="multilevel"/>
    <w:tmpl w:val="00000013"/>
    <w:lvl w:ilvl="0" w:tentative="0">
      <w:start w:val="1"/>
      <w:numFmt w:val="decimal"/>
      <w:pStyle w:val="17"/>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GNiMWZkOTBmMjk3N2ZiOTY2OWY1M2U2YWMyZTYifQ=="/>
  </w:docVars>
  <w:rsids>
    <w:rsidRoot w:val="00000000"/>
    <w:rsid w:val="006C695B"/>
    <w:rsid w:val="00AE44C0"/>
    <w:rsid w:val="0139304C"/>
    <w:rsid w:val="038720C2"/>
    <w:rsid w:val="03B95284"/>
    <w:rsid w:val="05C04FA9"/>
    <w:rsid w:val="06112117"/>
    <w:rsid w:val="06862B05"/>
    <w:rsid w:val="06A364EB"/>
    <w:rsid w:val="08FE019F"/>
    <w:rsid w:val="09444A74"/>
    <w:rsid w:val="09C30CC4"/>
    <w:rsid w:val="0A110938"/>
    <w:rsid w:val="0BE8710E"/>
    <w:rsid w:val="10516B48"/>
    <w:rsid w:val="10650056"/>
    <w:rsid w:val="149E570D"/>
    <w:rsid w:val="16FC0452"/>
    <w:rsid w:val="17C748AA"/>
    <w:rsid w:val="181C07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9515A1"/>
    <w:rsid w:val="2C2123F2"/>
    <w:rsid w:val="2D8F09B9"/>
    <w:rsid w:val="2E31233D"/>
    <w:rsid w:val="2EF3369A"/>
    <w:rsid w:val="321C1B85"/>
    <w:rsid w:val="337D1FCD"/>
    <w:rsid w:val="33C34071"/>
    <w:rsid w:val="354010C3"/>
    <w:rsid w:val="36B60470"/>
    <w:rsid w:val="3D2A0465"/>
    <w:rsid w:val="3D5A2CFA"/>
    <w:rsid w:val="40231D53"/>
    <w:rsid w:val="40C528A8"/>
    <w:rsid w:val="422C1B3B"/>
    <w:rsid w:val="43E51F12"/>
    <w:rsid w:val="4427252A"/>
    <w:rsid w:val="44485D56"/>
    <w:rsid w:val="457271D8"/>
    <w:rsid w:val="46DE6680"/>
    <w:rsid w:val="49016A01"/>
    <w:rsid w:val="49035628"/>
    <w:rsid w:val="4A0E4AF1"/>
    <w:rsid w:val="4A185A6B"/>
    <w:rsid w:val="4B8C001B"/>
    <w:rsid w:val="4CD3324F"/>
    <w:rsid w:val="4CE54D31"/>
    <w:rsid w:val="4D3F08E5"/>
    <w:rsid w:val="52AB07CA"/>
    <w:rsid w:val="54DA68DA"/>
    <w:rsid w:val="55452810"/>
    <w:rsid w:val="56261658"/>
    <w:rsid w:val="56765E2E"/>
    <w:rsid w:val="57A00704"/>
    <w:rsid w:val="597643ED"/>
    <w:rsid w:val="5B6B2007"/>
    <w:rsid w:val="5FCB6008"/>
    <w:rsid w:val="64307C97"/>
    <w:rsid w:val="6462781C"/>
    <w:rsid w:val="648C5704"/>
    <w:rsid w:val="663955FE"/>
    <w:rsid w:val="66680A54"/>
    <w:rsid w:val="67804D2B"/>
    <w:rsid w:val="68BD7860"/>
    <w:rsid w:val="6B716BE0"/>
    <w:rsid w:val="6BA3608B"/>
    <w:rsid w:val="6E6B2E90"/>
    <w:rsid w:val="6F6879E4"/>
    <w:rsid w:val="722C5E47"/>
    <w:rsid w:val="72690CD9"/>
    <w:rsid w:val="74BE7D72"/>
    <w:rsid w:val="75E576FB"/>
    <w:rsid w:val="777F5833"/>
    <w:rsid w:val="7A6A08DA"/>
    <w:rsid w:val="7AB53C86"/>
    <w:rsid w:val="7B0661B0"/>
    <w:rsid w:val="7D54367E"/>
    <w:rsid w:val="7FD0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7"/>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7">
    <w:name w:val="heading 3"/>
    <w:basedOn w:val="1"/>
    <w:next w:val="1"/>
    <w:link w:val="68"/>
    <w:qFormat/>
    <w:uiPriority w:val="0"/>
    <w:pPr>
      <w:keepNext/>
      <w:keepLines/>
      <w:adjustRightInd w:val="0"/>
      <w:snapToGrid w:val="0"/>
      <w:spacing w:line="480" w:lineRule="auto"/>
      <w:jc w:val="center"/>
      <w:outlineLvl w:val="2"/>
    </w:pPr>
    <w:rPr>
      <w:b/>
      <w:bCs/>
      <w:sz w:val="32"/>
      <w:szCs w:val="32"/>
    </w:rPr>
  </w:style>
  <w:style w:type="paragraph" w:styleId="8">
    <w:name w:val="heading 4"/>
    <w:basedOn w:val="1"/>
    <w:next w:val="1"/>
    <w:link w:val="69"/>
    <w:qFormat/>
    <w:uiPriority w:val="0"/>
    <w:pPr>
      <w:widowControl/>
      <w:spacing w:before="100" w:beforeAutospacing="1" w:after="100" w:afterAutospacing="1"/>
      <w:jc w:val="left"/>
      <w:outlineLvl w:val="3"/>
    </w:pPr>
    <w:rPr>
      <w:rFonts w:ascii="宋体" w:hAnsi="宋体" w:cs="宋体"/>
      <w:b/>
      <w:bCs/>
      <w:sz w:val="24"/>
      <w:szCs w:val="24"/>
    </w:rPr>
  </w:style>
  <w:style w:type="paragraph" w:styleId="9">
    <w:name w:val="heading 5"/>
    <w:basedOn w:val="1"/>
    <w:next w:val="1"/>
    <w:link w:val="70"/>
    <w:qFormat/>
    <w:uiPriority w:val="0"/>
    <w:pPr>
      <w:widowControl/>
      <w:spacing w:before="100" w:beforeAutospacing="1" w:after="100" w:afterAutospacing="1"/>
      <w:jc w:val="left"/>
      <w:outlineLvl w:val="4"/>
    </w:pPr>
    <w:rPr>
      <w:rFonts w:ascii="宋体" w:hAnsi="宋体" w:cs="宋体"/>
      <w:b/>
      <w:bCs/>
    </w:rPr>
  </w:style>
  <w:style w:type="paragraph" w:styleId="10">
    <w:name w:val="heading 6"/>
    <w:basedOn w:val="11"/>
    <w:next w:val="1"/>
    <w:link w:val="71"/>
    <w:qFormat/>
    <w:uiPriority w:val="0"/>
    <w:pPr>
      <w:keepNext/>
      <w:keepLines/>
      <w:ind w:firstLine="200" w:firstLineChars="200"/>
      <w:outlineLvl w:val="5"/>
    </w:pPr>
    <w:rPr>
      <w:rFonts w:hAnsi="Arial"/>
    </w:rPr>
  </w:style>
  <w:style w:type="paragraph" w:styleId="12">
    <w:name w:val="heading 7"/>
    <w:basedOn w:val="1"/>
    <w:next w:val="1"/>
    <w:link w:val="72"/>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3">
    <w:name w:val="heading 8"/>
    <w:basedOn w:val="1"/>
    <w:next w:val="1"/>
    <w:link w:val="73"/>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4">
    <w:name w:val="heading 9"/>
    <w:basedOn w:val="1"/>
    <w:next w:val="1"/>
    <w:link w:val="74"/>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275" w:lineRule="atLeast"/>
      <w:ind w:firstLine="420"/>
      <w:textAlignment w:val="baseline"/>
    </w:pPr>
    <w:rPr>
      <w:rFonts w:hAnsi="Calibri" w:eastAsia="楷体_GB2312"/>
      <w:szCs w:val="20"/>
    </w:rPr>
  </w:style>
  <w:style w:type="paragraph" w:styleId="3">
    <w:name w:val="Body Text"/>
    <w:basedOn w:val="1"/>
    <w:next w:val="4"/>
    <w:link w:val="65"/>
    <w:qFormat/>
    <w:uiPriority w:val="0"/>
    <w:pPr>
      <w:spacing w:after="120"/>
    </w:pPr>
    <w:rPr>
      <w:szCs w:val="24"/>
    </w:rPr>
  </w:style>
  <w:style w:type="paragraph" w:customStyle="1" w:styleId="4">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5">
    <w:name w:val="toc 7"/>
    <w:basedOn w:val="1"/>
    <w:next w:val="1"/>
    <w:qFormat/>
    <w:uiPriority w:val="0"/>
    <w:pPr>
      <w:ind w:left="2520" w:leftChars="1200"/>
    </w:pPr>
  </w:style>
  <w:style w:type="paragraph" w:styleId="16">
    <w:name w:val="List Bullet 4"/>
    <w:basedOn w:val="1"/>
    <w:qFormat/>
    <w:uiPriority w:val="0"/>
    <w:pPr>
      <w:numPr>
        <w:ilvl w:val="0"/>
        <w:numId w:val="1"/>
      </w:numPr>
      <w:tabs>
        <w:tab w:val="left" w:pos="1620"/>
      </w:tabs>
      <w:ind w:left="600" w:hanging="200"/>
    </w:pPr>
  </w:style>
  <w:style w:type="paragraph" w:styleId="17">
    <w:name w:val="List Bullet"/>
    <w:basedOn w:val="1"/>
    <w:qFormat/>
    <w:uiPriority w:val="0"/>
    <w:pPr>
      <w:numPr>
        <w:ilvl w:val="0"/>
        <w:numId w:val="2"/>
      </w:numPr>
      <w:tabs>
        <w:tab w:val="left" w:pos="360"/>
      </w:tabs>
      <w:ind w:hanging="200"/>
    </w:pPr>
  </w:style>
  <w:style w:type="paragraph" w:styleId="18">
    <w:name w:val="Document Map"/>
    <w:basedOn w:val="1"/>
    <w:link w:val="75"/>
    <w:qFormat/>
    <w:uiPriority w:val="0"/>
    <w:pPr>
      <w:shd w:val="clear" w:color="auto" w:fill="000080"/>
    </w:pPr>
    <w:rPr>
      <w:szCs w:val="24"/>
    </w:rPr>
  </w:style>
  <w:style w:type="paragraph" w:styleId="19">
    <w:name w:val="annotation text"/>
    <w:basedOn w:val="1"/>
    <w:link w:val="76"/>
    <w:qFormat/>
    <w:uiPriority w:val="0"/>
    <w:pPr>
      <w:jc w:val="left"/>
    </w:pPr>
    <w:rPr>
      <w:szCs w:val="24"/>
    </w:rPr>
  </w:style>
  <w:style w:type="paragraph" w:styleId="20">
    <w:name w:val="Body Text 3"/>
    <w:basedOn w:val="1"/>
    <w:link w:val="77"/>
    <w:qFormat/>
    <w:uiPriority w:val="0"/>
    <w:pPr>
      <w:spacing w:after="120"/>
    </w:pPr>
    <w:rPr>
      <w:sz w:val="16"/>
      <w:szCs w:val="16"/>
    </w:rPr>
  </w:style>
  <w:style w:type="paragraph" w:styleId="21">
    <w:name w:val="List Bullet 3"/>
    <w:basedOn w:val="1"/>
    <w:qFormat/>
    <w:uiPriority w:val="0"/>
    <w:pPr>
      <w:numPr>
        <w:ilvl w:val="0"/>
        <w:numId w:val="3"/>
      </w:numPr>
      <w:tabs>
        <w:tab w:val="left" w:pos="1200"/>
        <w:tab w:val="clear" w:pos="360"/>
      </w:tabs>
      <w:ind w:left="400" w:hanging="200"/>
    </w:pPr>
  </w:style>
  <w:style w:type="paragraph" w:styleId="22">
    <w:name w:val="Body Text Indent"/>
    <w:basedOn w:val="1"/>
    <w:link w:val="78"/>
    <w:qFormat/>
    <w:uiPriority w:val="0"/>
    <w:pPr>
      <w:ind w:firstLine="407" w:firstLineChars="200"/>
    </w:pPr>
    <w:rPr>
      <w:szCs w:val="24"/>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ind w:left="200" w:hanging="200"/>
    </w:pPr>
  </w:style>
  <w:style w:type="paragraph" w:styleId="25">
    <w:name w:val="index 4"/>
    <w:basedOn w:val="1"/>
    <w:next w:val="1"/>
    <w:qFormat/>
    <w:uiPriority w:val="0"/>
    <w:pPr>
      <w:ind w:left="600" w:leftChars="600"/>
    </w:pPr>
    <w:rPr>
      <w:szCs w:val="21"/>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cs="Courier New"/>
      <w:szCs w:val="21"/>
    </w:rPr>
  </w:style>
  <w:style w:type="paragraph" w:styleId="29">
    <w:name w:val="List Bullet 5"/>
    <w:basedOn w:val="1"/>
    <w:qFormat/>
    <w:uiPriority w:val="0"/>
    <w:pPr>
      <w:numPr>
        <w:ilvl w:val="0"/>
        <w:numId w:val="5"/>
      </w:numPr>
      <w:tabs>
        <w:tab w:val="left" w:pos="2040"/>
      </w:tabs>
      <w:ind w:left="800" w:hanging="200"/>
    </w:pPr>
  </w:style>
  <w:style w:type="paragraph" w:styleId="30">
    <w:name w:val="toc 8"/>
    <w:basedOn w:val="1"/>
    <w:next w:val="1"/>
    <w:qFormat/>
    <w:uiPriority w:val="0"/>
    <w:pPr>
      <w:ind w:left="2940" w:leftChars="1400"/>
    </w:pPr>
  </w:style>
  <w:style w:type="paragraph" w:styleId="31">
    <w:name w:val="Date"/>
    <w:basedOn w:val="1"/>
    <w:next w:val="1"/>
    <w:link w:val="80"/>
    <w:qFormat/>
    <w:uiPriority w:val="0"/>
    <w:pPr>
      <w:ind w:left="100" w:leftChars="2500"/>
    </w:pPr>
    <w:rPr>
      <w:szCs w:val="24"/>
    </w:rPr>
  </w:style>
  <w:style w:type="paragraph" w:styleId="32">
    <w:name w:val="Body Text Indent 2"/>
    <w:basedOn w:val="1"/>
    <w:link w:val="81"/>
    <w:qFormat/>
    <w:uiPriority w:val="0"/>
    <w:pPr>
      <w:widowControl/>
      <w:spacing w:line="480" w:lineRule="auto"/>
      <w:ind w:firstLine="560"/>
      <w:jc w:val="left"/>
    </w:pPr>
    <w:rPr>
      <w:sz w:val="28"/>
      <w:szCs w:val="24"/>
    </w:rPr>
  </w:style>
  <w:style w:type="paragraph" w:styleId="33">
    <w:name w:val="endnote text"/>
    <w:basedOn w:val="1"/>
    <w:link w:val="82"/>
    <w:qFormat/>
    <w:uiPriority w:val="0"/>
    <w:pPr>
      <w:widowControl/>
      <w:snapToGrid w:val="0"/>
      <w:jc w:val="left"/>
    </w:pPr>
    <w:rPr>
      <w:rFonts w:ascii="Arial" w:hAnsi="Arial" w:cs="Arial"/>
      <w:szCs w:val="24"/>
      <w:lang w:eastAsia="en-US"/>
    </w:rPr>
  </w:style>
  <w:style w:type="paragraph" w:styleId="34">
    <w:name w:val="Balloon Text"/>
    <w:basedOn w:val="1"/>
    <w:link w:val="83"/>
    <w:qFormat/>
    <w:uiPriority w:val="0"/>
    <w:rPr>
      <w:sz w:val="18"/>
      <w:szCs w:val="18"/>
    </w:rPr>
  </w:style>
  <w:style w:type="paragraph" w:styleId="35">
    <w:name w:val="footer"/>
    <w:basedOn w:val="1"/>
    <w:link w:val="84"/>
    <w:qFormat/>
    <w:uiPriority w:val="0"/>
    <w:pPr>
      <w:tabs>
        <w:tab w:val="center" w:pos="4153"/>
        <w:tab w:val="right" w:pos="8306"/>
      </w:tabs>
      <w:snapToGrid w:val="0"/>
      <w:jc w:val="left"/>
    </w:pPr>
    <w:rPr>
      <w:sz w:val="18"/>
      <w:szCs w:val="18"/>
    </w:rPr>
  </w:style>
  <w:style w:type="paragraph" w:styleId="36">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8">
    <w:name w:val="toc 4"/>
    <w:basedOn w:val="1"/>
    <w:next w:val="1"/>
    <w:qFormat/>
    <w:uiPriority w:val="0"/>
    <w:pPr>
      <w:ind w:left="1260" w:leftChars="600"/>
    </w:pPr>
  </w:style>
  <w:style w:type="paragraph" w:styleId="39">
    <w:name w:val="Subtitle"/>
    <w:basedOn w:val="1"/>
    <w:link w:val="86"/>
    <w:qFormat/>
    <w:uiPriority w:val="0"/>
    <w:pPr>
      <w:widowControl/>
      <w:jc w:val="center"/>
    </w:pPr>
    <w:rPr>
      <w:szCs w:val="24"/>
      <w:u w:val="single"/>
      <w:lang w:eastAsia="en-US"/>
    </w:rPr>
  </w:style>
  <w:style w:type="paragraph" w:styleId="40">
    <w:name w:val="footnote text"/>
    <w:basedOn w:val="1"/>
    <w:link w:val="87"/>
    <w:qFormat/>
    <w:uiPriority w:val="0"/>
    <w:pPr>
      <w:widowControl/>
      <w:snapToGrid w:val="0"/>
      <w:jc w:val="left"/>
    </w:pPr>
    <w:rPr>
      <w:rFonts w:ascii="Arial" w:hAnsi="Arial" w:cs="Arial"/>
      <w:sz w:val="18"/>
      <w:szCs w:val="18"/>
      <w:lang w:eastAsia="en-US"/>
    </w:rPr>
  </w:style>
  <w:style w:type="paragraph" w:styleId="41">
    <w:name w:val="toc 6"/>
    <w:basedOn w:val="1"/>
    <w:next w:val="1"/>
    <w:qFormat/>
    <w:uiPriority w:val="0"/>
    <w:pPr>
      <w:ind w:left="2100" w:leftChars="1000"/>
    </w:pPr>
  </w:style>
  <w:style w:type="paragraph" w:styleId="42">
    <w:name w:val="Body Text Indent 3"/>
    <w:basedOn w:val="1"/>
    <w:link w:val="88"/>
    <w:qFormat/>
    <w:uiPriority w:val="0"/>
    <w:pPr>
      <w:spacing w:line="360" w:lineRule="auto"/>
      <w:ind w:firstLine="280" w:firstLineChars="100"/>
    </w:pPr>
    <w:rPr>
      <w:rFonts w:ascii="宋体" w:hAnsi="宋体"/>
      <w:sz w:val="28"/>
      <w:szCs w:val="28"/>
    </w:rPr>
  </w:style>
  <w:style w:type="paragraph" w:styleId="43">
    <w:name w:val="table of figures"/>
    <w:basedOn w:val="1"/>
    <w:next w:val="1"/>
    <w:qFormat/>
    <w:uiPriority w:val="0"/>
    <w:pPr>
      <w:ind w:left="200" w:leftChars="200" w:hanging="200" w:hangingChars="200"/>
    </w:p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9"/>
    <w:qFormat/>
    <w:uiPriority w:val="0"/>
    <w:rPr>
      <w:i/>
      <w:iCs/>
      <w:sz w:val="26"/>
      <w:szCs w:val="24"/>
    </w:rPr>
  </w:style>
  <w:style w:type="paragraph" w:styleId="4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91"/>
    <w:qFormat/>
    <w:uiPriority w:val="0"/>
    <w:pPr>
      <w:widowControl/>
      <w:jc w:val="center"/>
    </w:pPr>
    <w:rPr>
      <w:szCs w:val="24"/>
      <w:u w:val="single"/>
      <w:lang w:eastAsia="en-US"/>
    </w:rPr>
  </w:style>
  <w:style w:type="paragraph" w:styleId="51">
    <w:name w:val="annotation subject"/>
    <w:basedOn w:val="19"/>
    <w:next w:val="19"/>
    <w:link w:val="92"/>
    <w:qFormat/>
    <w:uiPriority w:val="0"/>
    <w:rPr>
      <w:b/>
      <w:bCs/>
    </w:rPr>
  </w:style>
  <w:style w:type="paragraph" w:styleId="52">
    <w:name w:val="Body Text First Indent 2"/>
    <w:basedOn w:val="22"/>
    <w:link w:val="93"/>
    <w:qFormat/>
    <w:uiPriority w:val="0"/>
    <w:pPr>
      <w:spacing w:after="12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paragraph" w:customStyle="1" w:styleId="62">
    <w:name w:val="BodyText1I"/>
    <w:basedOn w:val="6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3">
    <w:name w:val="BodyText"/>
    <w:basedOn w:val="1"/>
    <w:next w:val="6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character" w:customStyle="1" w:styleId="65">
    <w:name w:val="正文文本 Char"/>
    <w:basedOn w:val="54"/>
    <w:link w:val="3"/>
    <w:qFormat/>
    <w:uiPriority w:val="0"/>
    <w:rPr>
      <w:rFonts w:eastAsia="宋体"/>
      <w:kern w:val="2"/>
      <w:sz w:val="21"/>
      <w:szCs w:val="24"/>
      <w:lang w:val="en-US" w:eastAsia="zh-CN" w:bidi="ar-SA"/>
    </w:rPr>
  </w:style>
  <w:style w:type="character" w:customStyle="1" w:styleId="66">
    <w:name w:val="标题 1 Char"/>
    <w:basedOn w:val="54"/>
    <w:link w:val="5"/>
    <w:qFormat/>
    <w:uiPriority w:val="0"/>
    <w:rPr>
      <w:rFonts w:eastAsia="宋体"/>
      <w:b/>
      <w:bCs/>
      <w:kern w:val="44"/>
      <w:sz w:val="44"/>
      <w:szCs w:val="44"/>
      <w:lang w:val="en-US" w:eastAsia="zh-CN" w:bidi="ar-SA"/>
    </w:rPr>
  </w:style>
  <w:style w:type="character" w:customStyle="1" w:styleId="67">
    <w:name w:val="标题 2 Char"/>
    <w:basedOn w:val="54"/>
    <w:link w:val="6"/>
    <w:qFormat/>
    <w:uiPriority w:val="0"/>
    <w:rPr>
      <w:rFonts w:ascii="Cambria" w:hAnsi="Cambria" w:eastAsia="宋体"/>
      <w:b/>
      <w:bCs/>
      <w:kern w:val="2"/>
      <w:sz w:val="32"/>
      <w:szCs w:val="32"/>
      <w:lang w:val="en-US" w:eastAsia="zh-CN" w:bidi="ar-SA"/>
    </w:rPr>
  </w:style>
  <w:style w:type="character" w:customStyle="1" w:styleId="68">
    <w:name w:val="标题 3 Char"/>
    <w:basedOn w:val="54"/>
    <w:link w:val="7"/>
    <w:qFormat/>
    <w:uiPriority w:val="0"/>
    <w:rPr>
      <w:rFonts w:ascii="Times New Roman" w:hAnsi="Times New Roman" w:eastAsia="宋体"/>
      <w:b/>
      <w:bCs/>
      <w:kern w:val="2"/>
      <w:sz w:val="32"/>
      <w:szCs w:val="32"/>
      <w:lang w:val="en-US" w:eastAsia="zh-CN" w:bidi="ar-SA"/>
    </w:rPr>
  </w:style>
  <w:style w:type="character" w:customStyle="1" w:styleId="69">
    <w:name w:val="标题 4 Char"/>
    <w:basedOn w:val="54"/>
    <w:link w:val="8"/>
    <w:qFormat/>
    <w:uiPriority w:val="0"/>
    <w:rPr>
      <w:rFonts w:ascii="宋体" w:hAnsi="宋体" w:eastAsia="宋体" w:cs="宋体"/>
      <w:b/>
      <w:bCs/>
      <w:sz w:val="24"/>
      <w:szCs w:val="24"/>
      <w:lang w:val="en-US" w:eastAsia="zh-CN" w:bidi="ar-SA"/>
    </w:rPr>
  </w:style>
  <w:style w:type="character" w:customStyle="1" w:styleId="70">
    <w:name w:val="标题 5 Char"/>
    <w:basedOn w:val="54"/>
    <w:link w:val="9"/>
    <w:qFormat/>
    <w:uiPriority w:val="0"/>
    <w:rPr>
      <w:rFonts w:ascii="宋体" w:hAnsi="宋体" w:eastAsia="宋体" w:cs="宋体"/>
      <w:b/>
      <w:bCs/>
      <w:lang w:val="en-US" w:eastAsia="zh-CN" w:bidi="ar-SA"/>
    </w:rPr>
  </w:style>
  <w:style w:type="character" w:customStyle="1" w:styleId="71">
    <w:name w:val="标题 6 Char"/>
    <w:basedOn w:val="54"/>
    <w:link w:val="10"/>
    <w:qFormat/>
    <w:uiPriority w:val="0"/>
    <w:rPr>
      <w:rFonts w:hAnsi="Arial" w:eastAsia="仿宋_GB2312"/>
      <w:sz w:val="30"/>
      <w:lang w:val="en-US" w:eastAsia="zh-CN" w:bidi="ar-SA"/>
    </w:rPr>
  </w:style>
  <w:style w:type="character" w:customStyle="1" w:styleId="72">
    <w:name w:val="标题 7 Char"/>
    <w:basedOn w:val="54"/>
    <w:link w:val="12"/>
    <w:qFormat/>
    <w:uiPriority w:val="0"/>
    <w:rPr>
      <w:rFonts w:eastAsia="仿宋_GB2312"/>
      <w:sz w:val="30"/>
      <w:lang w:val="en-US" w:eastAsia="zh-CN" w:bidi="ar-SA"/>
    </w:rPr>
  </w:style>
  <w:style w:type="character" w:customStyle="1" w:styleId="73">
    <w:name w:val="标题 8 Char"/>
    <w:basedOn w:val="54"/>
    <w:link w:val="13"/>
    <w:qFormat/>
    <w:uiPriority w:val="0"/>
    <w:rPr>
      <w:rFonts w:hAnsi="Arial" w:eastAsia="仿宋_GB2312"/>
      <w:sz w:val="30"/>
      <w:lang w:val="en-US" w:eastAsia="zh-CN" w:bidi="ar-SA"/>
    </w:rPr>
  </w:style>
  <w:style w:type="character" w:customStyle="1" w:styleId="74">
    <w:name w:val="标题 9 Char"/>
    <w:basedOn w:val="54"/>
    <w:link w:val="14"/>
    <w:qFormat/>
    <w:uiPriority w:val="0"/>
    <w:rPr>
      <w:rFonts w:eastAsia="仿宋_GB2312"/>
      <w:sz w:val="30"/>
      <w:lang w:val="en-US" w:eastAsia="zh-CN" w:bidi="ar-SA"/>
    </w:rPr>
  </w:style>
  <w:style w:type="character" w:customStyle="1" w:styleId="75">
    <w:name w:val="文档结构图 Char"/>
    <w:basedOn w:val="54"/>
    <w:link w:val="18"/>
    <w:qFormat/>
    <w:uiPriority w:val="0"/>
    <w:rPr>
      <w:rFonts w:eastAsia="宋体"/>
      <w:kern w:val="2"/>
      <w:sz w:val="21"/>
      <w:szCs w:val="24"/>
      <w:lang w:val="en-US" w:eastAsia="zh-CN" w:bidi="ar-SA"/>
    </w:rPr>
  </w:style>
  <w:style w:type="character" w:customStyle="1" w:styleId="76">
    <w:name w:val="批注文字 Char"/>
    <w:basedOn w:val="54"/>
    <w:link w:val="19"/>
    <w:qFormat/>
    <w:uiPriority w:val="0"/>
    <w:rPr>
      <w:rFonts w:eastAsia="宋体"/>
      <w:kern w:val="2"/>
      <w:sz w:val="21"/>
      <w:szCs w:val="24"/>
      <w:lang w:val="en-US" w:eastAsia="zh-CN" w:bidi="ar-SA"/>
    </w:rPr>
  </w:style>
  <w:style w:type="character" w:customStyle="1" w:styleId="77">
    <w:name w:val="正文文本 3 Char"/>
    <w:basedOn w:val="54"/>
    <w:link w:val="20"/>
    <w:qFormat/>
    <w:uiPriority w:val="0"/>
    <w:rPr>
      <w:rFonts w:eastAsia="宋体"/>
      <w:kern w:val="2"/>
      <w:sz w:val="16"/>
      <w:szCs w:val="16"/>
      <w:lang w:val="en-US" w:eastAsia="zh-CN" w:bidi="ar-SA"/>
    </w:rPr>
  </w:style>
  <w:style w:type="character" w:customStyle="1" w:styleId="78">
    <w:name w:val="正文文本缩进 Char"/>
    <w:basedOn w:val="54"/>
    <w:link w:val="22"/>
    <w:qFormat/>
    <w:uiPriority w:val="0"/>
    <w:rPr>
      <w:rFonts w:eastAsia="宋体"/>
      <w:kern w:val="2"/>
      <w:sz w:val="21"/>
      <w:szCs w:val="24"/>
      <w:lang w:val="en-US" w:eastAsia="zh-CN" w:bidi="ar-SA"/>
    </w:rPr>
  </w:style>
  <w:style w:type="character" w:customStyle="1" w:styleId="79">
    <w:name w:val="纯文本 Char"/>
    <w:basedOn w:val="54"/>
    <w:link w:val="28"/>
    <w:qFormat/>
    <w:uiPriority w:val="0"/>
    <w:rPr>
      <w:rFonts w:ascii="宋体" w:hAnsi="Courier New" w:eastAsia="宋体" w:cs="Courier New"/>
      <w:kern w:val="2"/>
      <w:sz w:val="21"/>
      <w:szCs w:val="21"/>
      <w:lang w:val="en-US" w:eastAsia="zh-CN" w:bidi="ar-SA"/>
    </w:rPr>
  </w:style>
  <w:style w:type="character" w:customStyle="1" w:styleId="80">
    <w:name w:val="日期 Char"/>
    <w:basedOn w:val="54"/>
    <w:link w:val="31"/>
    <w:qFormat/>
    <w:uiPriority w:val="0"/>
    <w:rPr>
      <w:rFonts w:eastAsia="宋体"/>
      <w:kern w:val="2"/>
      <w:sz w:val="21"/>
      <w:szCs w:val="24"/>
      <w:lang w:val="en-US" w:eastAsia="zh-CN" w:bidi="ar-SA"/>
    </w:rPr>
  </w:style>
  <w:style w:type="character" w:customStyle="1" w:styleId="81">
    <w:name w:val="正文文本缩进 2 Char"/>
    <w:basedOn w:val="54"/>
    <w:link w:val="32"/>
    <w:qFormat/>
    <w:uiPriority w:val="0"/>
    <w:rPr>
      <w:rFonts w:eastAsia="宋体"/>
      <w:sz w:val="28"/>
      <w:szCs w:val="24"/>
      <w:lang w:val="en-US" w:eastAsia="zh-CN" w:bidi="ar-SA"/>
    </w:rPr>
  </w:style>
  <w:style w:type="character" w:customStyle="1" w:styleId="82">
    <w:name w:val="尾注文本 Char"/>
    <w:basedOn w:val="54"/>
    <w:link w:val="33"/>
    <w:qFormat/>
    <w:uiPriority w:val="0"/>
    <w:rPr>
      <w:rFonts w:ascii="Arial" w:hAnsi="Arial" w:eastAsia="宋体" w:cs="Arial"/>
      <w:szCs w:val="24"/>
      <w:lang w:val="en-US" w:eastAsia="en-US" w:bidi="ar-SA"/>
    </w:rPr>
  </w:style>
  <w:style w:type="character" w:customStyle="1" w:styleId="83">
    <w:name w:val="批注框文本 Char"/>
    <w:basedOn w:val="54"/>
    <w:link w:val="34"/>
    <w:qFormat/>
    <w:uiPriority w:val="0"/>
    <w:rPr>
      <w:rFonts w:eastAsia="宋体"/>
      <w:kern w:val="2"/>
      <w:sz w:val="18"/>
      <w:szCs w:val="18"/>
      <w:lang w:val="en-US" w:eastAsia="zh-CN" w:bidi="ar-SA"/>
    </w:rPr>
  </w:style>
  <w:style w:type="character" w:customStyle="1" w:styleId="84">
    <w:name w:val="页脚 Char"/>
    <w:basedOn w:val="54"/>
    <w:link w:val="35"/>
    <w:qFormat/>
    <w:uiPriority w:val="0"/>
    <w:rPr>
      <w:rFonts w:eastAsia="宋体"/>
      <w:kern w:val="2"/>
      <w:sz w:val="18"/>
      <w:szCs w:val="18"/>
      <w:lang w:val="en-US" w:eastAsia="zh-CN" w:bidi="ar-SA"/>
    </w:rPr>
  </w:style>
  <w:style w:type="character" w:customStyle="1" w:styleId="85">
    <w:name w:val="页眉 Char"/>
    <w:basedOn w:val="54"/>
    <w:link w:val="36"/>
    <w:qFormat/>
    <w:uiPriority w:val="0"/>
    <w:rPr>
      <w:rFonts w:eastAsia="宋体"/>
      <w:kern w:val="2"/>
      <w:sz w:val="18"/>
      <w:szCs w:val="18"/>
      <w:lang w:val="en-US" w:eastAsia="zh-CN" w:bidi="ar-SA"/>
    </w:rPr>
  </w:style>
  <w:style w:type="character" w:customStyle="1" w:styleId="86">
    <w:name w:val="副标题 Char"/>
    <w:basedOn w:val="54"/>
    <w:link w:val="39"/>
    <w:qFormat/>
    <w:uiPriority w:val="0"/>
    <w:rPr>
      <w:rFonts w:eastAsia="宋体"/>
      <w:szCs w:val="24"/>
      <w:u w:val="single"/>
      <w:lang w:val="en-US" w:eastAsia="en-US" w:bidi="ar-SA"/>
    </w:rPr>
  </w:style>
  <w:style w:type="character" w:customStyle="1" w:styleId="87">
    <w:name w:val="脚注文本 Char"/>
    <w:basedOn w:val="54"/>
    <w:link w:val="40"/>
    <w:qFormat/>
    <w:uiPriority w:val="0"/>
    <w:rPr>
      <w:rFonts w:ascii="Arial" w:hAnsi="Arial" w:eastAsia="宋体" w:cs="Arial"/>
      <w:sz w:val="18"/>
      <w:szCs w:val="18"/>
      <w:lang w:val="en-US" w:eastAsia="en-US" w:bidi="ar-SA"/>
    </w:rPr>
  </w:style>
  <w:style w:type="character" w:customStyle="1" w:styleId="88">
    <w:name w:val="正文文本缩进 3 Char"/>
    <w:basedOn w:val="54"/>
    <w:link w:val="42"/>
    <w:qFormat/>
    <w:uiPriority w:val="0"/>
    <w:rPr>
      <w:rFonts w:ascii="宋体" w:hAnsi="宋体" w:eastAsia="宋体"/>
      <w:kern w:val="2"/>
      <w:sz w:val="28"/>
      <w:szCs w:val="28"/>
      <w:lang w:val="en-US" w:eastAsia="zh-CN" w:bidi="ar-SA"/>
    </w:rPr>
  </w:style>
  <w:style w:type="character" w:customStyle="1" w:styleId="89">
    <w:name w:val="正文文本 2 Char"/>
    <w:basedOn w:val="54"/>
    <w:link w:val="46"/>
    <w:qFormat/>
    <w:uiPriority w:val="0"/>
    <w:rPr>
      <w:rFonts w:eastAsia="宋体"/>
      <w:i/>
      <w:iCs/>
      <w:kern w:val="2"/>
      <w:sz w:val="26"/>
      <w:szCs w:val="24"/>
      <w:lang w:val="en-US" w:eastAsia="zh-CN" w:bidi="ar-SA"/>
    </w:rPr>
  </w:style>
  <w:style w:type="character" w:customStyle="1" w:styleId="90">
    <w:name w:val="HTML 预设格式 Char"/>
    <w:basedOn w:val="54"/>
    <w:link w:val="47"/>
    <w:qFormat/>
    <w:uiPriority w:val="0"/>
    <w:rPr>
      <w:rFonts w:ascii="宋体" w:hAnsi="宋体" w:eastAsia="宋体" w:cs="宋体"/>
      <w:color w:val="000000"/>
      <w:sz w:val="24"/>
      <w:szCs w:val="24"/>
      <w:lang w:val="en-US" w:eastAsia="zh-CN" w:bidi="ar-SA"/>
    </w:rPr>
  </w:style>
  <w:style w:type="character" w:customStyle="1" w:styleId="91">
    <w:name w:val="标题 Char"/>
    <w:basedOn w:val="54"/>
    <w:link w:val="50"/>
    <w:qFormat/>
    <w:uiPriority w:val="0"/>
    <w:rPr>
      <w:rFonts w:eastAsia="宋体"/>
      <w:szCs w:val="24"/>
      <w:u w:val="single"/>
      <w:lang w:val="en-US" w:eastAsia="en-US" w:bidi="ar-SA"/>
    </w:rPr>
  </w:style>
  <w:style w:type="character" w:customStyle="1" w:styleId="92">
    <w:name w:val="批注主题 Char"/>
    <w:basedOn w:val="76"/>
    <w:link w:val="51"/>
    <w:qFormat/>
    <w:uiPriority w:val="0"/>
    <w:rPr>
      <w:rFonts w:eastAsia="宋体"/>
      <w:b/>
      <w:bCs/>
      <w:kern w:val="2"/>
      <w:sz w:val="21"/>
      <w:szCs w:val="24"/>
      <w:lang w:val="en-US" w:eastAsia="zh-CN" w:bidi="ar-SA"/>
    </w:rPr>
  </w:style>
  <w:style w:type="character" w:customStyle="1" w:styleId="93">
    <w:name w:val="正文首行缩进 2 Char"/>
    <w:basedOn w:val="94"/>
    <w:link w:val="52"/>
    <w:qFormat/>
    <w:uiPriority w:val="0"/>
    <w:rPr>
      <w:rFonts w:ascii="宋体" w:hAnsi="宋体" w:eastAsia="宋体" w:cs="Times New Roman"/>
      <w:kern w:val="2"/>
      <w:sz w:val="24"/>
      <w:szCs w:val="24"/>
      <w:lang w:val="en-US" w:eastAsia="zh-CN" w:bidi="ar-SA"/>
    </w:rPr>
  </w:style>
  <w:style w:type="character" w:customStyle="1" w:styleId="94">
    <w:name w:val="Char Char69"/>
    <w:basedOn w:val="54"/>
    <w:qFormat/>
    <w:uiPriority w:val="0"/>
    <w:rPr>
      <w:rFonts w:ascii="宋体" w:hAnsi="宋体" w:eastAsia="宋体" w:cs="Times New Roman"/>
      <w:kern w:val="2"/>
      <w:sz w:val="24"/>
      <w:szCs w:val="24"/>
      <w:lang w:val="en-US" w:eastAsia="zh-CN" w:bidi="ar-SA"/>
    </w:rPr>
  </w:style>
  <w:style w:type="character" w:customStyle="1" w:styleId="95">
    <w:name w:val="Char Char84"/>
    <w:basedOn w:val="54"/>
    <w:qFormat/>
    <w:uiPriority w:val="0"/>
    <w:rPr>
      <w:rFonts w:eastAsia="宋体" w:cs="Times New Roman"/>
      <w:b/>
      <w:bCs/>
      <w:kern w:val="2"/>
      <w:sz w:val="32"/>
      <w:szCs w:val="32"/>
      <w:lang w:val="en-US" w:eastAsia="zh-CN" w:bidi="ar-SA"/>
    </w:rPr>
  </w:style>
  <w:style w:type="character" w:customStyle="1" w:styleId="96">
    <w:name w:val="Char Char36"/>
    <w:basedOn w:val="97"/>
    <w:qFormat/>
    <w:uiPriority w:val="0"/>
    <w:rPr>
      <w:rFonts w:eastAsia="宋体" w:cs="Times New Roman"/>
      <w:b/>
      <w:bCs/>
      <w:kern w:val="2"/>
      <w:sz w:val="24"/>
      <w:szCs w:val="24"/>
      <w:lang w:val="en-US" w:eastAsia="zh-CN" w:bidi="ar-SA"/>
    </w:rPr>
  </w:style>
  <w:style w:type="character" w:customStyle="1" w:styleId="97">
    <w:name w:val="Char Char42"/>
    <w:basedOn w:val="54"/>
    <w:qFormat/>
    <w:uiPriority w:val="0"/>
    <w:rPr>
      <w:rFonts w:eastAsia="宋体" w:cs="Times New Roman"/>
      <w:sz w:val="24"/>
      <w:lang w:val="en-US" w:eastAsia="zh-CN" w:bidi="ar-SA"/>
    </w:rPr>
  </w:style>
  <w:style w:type="character" w:customStyle="1" w:styleId="98">
    <w:name w:val="Char Char38"/>
    <w:basedOn w:val="54"/>
    <w:qFormat/>
    <w:uiPriority w:val="0"/>
    <w:rPr>
      <w:rFonts w:eastAsia="宋体" w:cs="Times New Roman"/>
      <w:kern w:val="2"/>
      <w:sz w:val="24"/>
      <w:szCs w:val="24"/>
      <w:lang w:val="en-US" w:eastAsia="zh-CN" w:bidi="ar-SA"/>
    </w:rPr>
  </w:style>
  <w:style w:type="character" w:customStyle="1" w:styleId="99">
    <w:name w:val="Char Char11"/>
    <w:basedOn w:val="54"/>
    <w:qFormat/>
    <w:uiPriority w:val="0"/>
    <w:rPr>
      <w:rFonts w:eastAsia="黑体"/>
      <w:kern w:val="2"/>
      <w:sz w:val="44"/>
      <w:szCs w:val="44"/>
      <w:lang w:val="en-US" w:eastAsia="zh-CN" w:bidi="ar-SA"/>
    </w:rPr>
  </w:style>
  <w:style w:type="character" w:customStyle="1" w:styleId="100">
    <w:name w:val="Char Char75"/>
    <w:basedOn w:val="54"/>
    <w:qFormat/>
    <w:uiPriority w:val="0"/>
    <w:rPr>
      <w:rFonts w:eastAsia="宋体" w:cs="Times New Roman"/>
      <w:sz w:val="24"/>
      <w:lang w:val="en-US" w:eastAsia="zh-CN" w:bidi="ar-SA"/>
    </w:rPr>
  </w:style>
  <w:style w:type="character" w:customStyle="1" w:styleId="101">
    <w:name w:val="Char Char81"/>
    <w:basedOn w:val="54"/>
    <w:qFormat/>
    <w:uiPriority w:val="0"/>
    <w:rPr>
      <w:rFonts w:ascii="Arial" w:hAnsi="Arial" w:eastAsia="黑体" w:cs="Times New Roman"/>
      <w:b/>
      <w:bCs/>
      <w:kern w:val="2"/>
      <w:sz w:val="24"/>
      <w:szCs w:val="24"/>
      <w:lang w:val="en-US" w:eastAsia="zh-CN" w:bidi="ar-SA"/>
    </w:rPr>
  </w:style>
  <w:style w:type="character" w:customStyle="1" w:styleId="102">
    <w:name w:val="Char Char Char"/>
    <w:basedOn w:val="54"/>
    <w:qFormat/>
    <w:uiPriority w:val="0"/>
    <w:rPr>
      <w:kern w:val="2"/>
      <w:sz w:val="21"/>
      <w:szCs w:val="24"/>
      <w:shd w:val="clear" w:color="auto" w:fill="000080"/>
    </w:rPr>
  </w:style>
  <w:style w:type="character" w:customStyle="1" w:styleId="103">
    <w:name w:val="Char Char54"/>
    <w:basedOn w:val="54"/>
    <w:qFormat/>
    <w:uiPriority w:val="0"/>
    <w:rPr>
      <w:rFonts w:ascii="Arial" w:hAnsi="Arial" w:eastAsia="黑体" w:cs="Times New Roman"/>
      <w:b/>
      <w:bCs/>
      <w:kern w:val="2"/>
      <w:sz w:val="28"/>
      <w:szCs w:val="28"/>
      <w:lang w:val="en-US" w:eastAsia="zh-CN" w:bidi="ar-SA"/>
    </w:rPr>
  </w:style>
  <w:style w:type="character" w:customStyle="1" w:styleId="104">
    <w:name w:val="标题 3 Char Char"/>
    <w:basedOn w:val="54"/>
    <w:qFormat/>
    <w:uiPriority w:val="0"/>
    <w:rPr>
      <w:rFonts w:eastAsia="宋体" w:cs="Times New Roman"/>
      <w:b/>
      <w:bCs/>
      <w:kern w:val="2"/>
      <w:sz w:val="32"/>
      <w:szCs w:val="32"/>
      <w:lang w:val="en-US" w:eastAsia="zh-CN" w:bidi="ar-SA"/>
    </w:rPr>
  </w:style>
  <w:style w:type="character" w:customStyle="1" w:styleId="105">
    <w:name w:val="Char Char56"/>
    <w:basedOn w:val="54"/>
    <w:qFormat/>
    <w:uiPriority w:val="0"/>
    <w:rPr>
      <w:rFonts w:ascii="Arial" w:hAnsi="Arial" w:eastAsia="黑体" w:cs="Times New Roman"/>
      <w:b/>
      <w:bCs/>
      <w:kern w:val="2"/>
      <w:sz w:val="32"/>
      <w:szCs w:val="32"/>
      <w:lang w:val="en-US" w:eastAsia="zh-CN" w:bidi="ar-SA"/>
    </w:rPr>
  </w:style>
  <w:style w:type="character" w:customStyle="1" w:styleId="106">
    <w:name w:val="Char Char21"/>
    <w:basedOn w:val="54"/>
    <w:qFormat/>
    <w:uiPriority w:val="0"/>
    <w:rPr>
      <w:rFonts w:ascii="宋体" w:hAnsi="宋体" w:cs="宋体"/>
      <w:b/>
      <w:bCs/>
      <w:sz w:val="24"/>
      <w:szCs w:val="24"/>
    </w:rPr>
  </w:style>
  <w:style w:type="character" w:customStyle="1" w:styleId="107">
    <w:name w:val="l1"/>
    <w:basedOn w:val="54"/>
    <w:qFormat/>
    <w:uiPriority w:val="0"/>
  </w:style>
  <w:style w:type="character" w:customStyle="1" w:styleId="108">
    <w:name w:val="style121"/>
    <w:basedOn w:val="54"/>
    <w:qFormat/>
    <w:uiPriority w:val="0"/>
    <w:rPr>
      <w:rFonts w:hint="eastAsia" w:ascii="宋体" w:hAnsi="宋体" w:eastAsia="宋体"/>
      <w:sz w:val="18"/>
      <w:szCs w:val="18"/>
    </w:rPr>
  </w:style>
  <w:style w:type="character" w:customStyle="1" w:styleId="109">
    <w:name w:val="Char Char4"/>
    <w:basedOn w:val="54"/>
    <w:qFormat/>
    <w:uiPriority w:val="0"/>
    <w:rPr>
      <w:szCs w:val="24"/>
      <w:u w:val="single"/>
      <w:lang w:eastAsia="en-US"/>
    </w:rPr>
  </w:style>
  <w:style w:type="character" w:customStyle="1" w:styleId="110">
    <w:name w:val="Char Char63"/>
    <w:basedOn w:val="54"/>
    <w:qFormat/>
    <w:uiPriority w:val="0"/>
    <w:rPr>
      <w:rFonts w:eastAsia="宋体" w:cs="Times New Roman"/>
      <w:kern w:val="2"/>
      <w:sz w:val="18"/>
      <w:szCs w:val="18"/>
      <w:lang w:val="en-US" w:eastAsia="zh-CN" w:bidi="ar-SA"/>
    </w:rPr>
  </w:style>
  <w:style w:type="character" w:customStyle="1" w:styleId="111">
    <w:name w:val="Char Char23"/>
    <w:basedOn w:val="54"/>
    <w:qFormat/>
    <w:uiPriority w:val="0"/>
    <w:rPr>
      <w:rFonts w:ascii="Cambria" w:hAnsi="Cambria" w:eastAsia="宋体" w:cs="Times New Roman"/>
      <w:b/>
      <w:bCs/>
      <w:kern w:val="2"/>
      <w:sz w:val="32"/>
      <w:szCs w:val="32"/>
    </w:rPr>
  </w:style>
  <w:style w:type="character" w:customStyle="1" w:styleId="112">
    <w:name w:val="Intense Quote Char1"/>
    <w:basedOn w:val="54"/>
    <w:link w:val="113"/>
    <w:qFormat/>
    <w:uiPriority w:val="0"/>
    <w:rPr>
      <w:rFonts w:ascii="Calibri" w:hAnsi="Calibri" w:eastAsia="宋体"/>
      <w:b/>
      <w:bCs/>
      <w:i/>
      <w:iCs/>
      <w:color w:val="4F81BD"/>
      <w:kern w:val="2"/>
      <w:sz w:val="22"/>
      <w:szCs w:val="22"/>
      <w:lang w:val="en-US" w:eastAsia="zh-CN" w:bidi="ar-SA"/>
    </w:rPr>
  </w:style>
  <w:style w:type="paragraph" w:customStyle="1" w:styleId="113">
    <w:name w:val="明显引用1"/>
    <w:basedOn w:val="1"/>
    <w:next w:val="1"/>
    <w:link w:val="112"/>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4">
    <w:name w:val="Footnote Text Char1"/>
    <w:basedOn w:val="54"/>
    <w:qFormat/>
    <w:uiPriority w:val="0"/>
    <w:rPr>
      <w:rFonts w:cs="Times New Roman"/>
      <w:kern w:val="2"/>
      <w:sz w:val="18"/>
      <w:szCs w:val="18"/>
    </w:rPr>
  </w:style>
  <w:style w:type="character" w:customStyle="1" w:styleId="115">
    <w:name w:val="Char Char85"/>
    <w:basedOn w:val="54"/>
    <w:qFormat/>
    <w:uiPriority w:val="0"/>
    <w:rPr>
      <w:rFonts w:ascii="Arial" w:hAnsi="Arial" w:eastAsia="黑体" w:cs="Times New Roman"/>
      <w:b/>
      <w:bCs/>
      <w:kern w:val="2"/>
      <w:sz w:val="32"/>
      <w:szCs w:val="32"/>
      <w:lang w:val="en-US" w:eastAsia="zh-CN" w:bidi="ar-SA"/>
    </w:rPr>
  </w:style>
  <w:style w:type="character" w:customStyle="1" w:styleId="116">
    <w:name w:val="Char Char17"/>
    <w:basedOn w:val="54"/>
    <w:qFormat/>
    <w:uiPriority w:val="0"/>
    <w:rPr>
      <w:rFonts w:hAnsi="Arial" w:eastAsia="仿宋_GB2312"/>
      <w:sz w:val="30"/>
    </w:rPr>
  </w:style>
  <w:style w:type="character" w:customStyle="1" w:styleId="117">
    <w:name w:val="unnamed1"/>
    <w:basedOn w:val="54"/>
    <w:qFormat/>
    <w:uiPriority w:val="0"/>
  </w:style>
  <w:style w:type="character" w:customStyle="1" w:styleId="118">
    <w:name w:val="ca-141"/>
    <w:basedOn w:val="54"/>
    <w:qFormat/>
    <w:uiPriority w:val="0"/>
    <w:rPr>
      <w:rFonts w:hint="eastAsia" w:ascii="仿宋_GB2312" w:eastAsia="仿宋_GB2312"/>
      <w:sz w:val="21"/>
      <w:szCs w:val="21"/>
    </w:rPr>
  </w:style>
  <w:style w:type="character" w:customStyle="1" w:styleId="119">
    <w:name w:val="Char Char64"/>
    <w:basedOn w:val="54"/>
    <w:qFormat/>
    <w:uiPriority w:val="0"/>
    <w:rPr>
      <w:rFonts w:ascii="宋体" w:hAnsi="宋体" w:eastAsia="宋体" w:cs="宋体"/>
      <w:color w:val="000000"/>
      <w:sz w:val="24"/>
      <w:szCs w:val="24"/>
      <w:lang w:val="en-US" w:eastAsia="zh-CN" w:bidi="ar-SA"/>
    </w:rPr>
  </w:style>
  <w:style w:type="character" w:customStyle="1" w:styleId="120">
    <w:name w:val="main_tdbg_7601"/>
    <w:basedOn w:val="54"/>
    <w:qFormat/>
    <w:uiPriority w:val="0"/>
    <w:rPr>
      <w:sz w:val="14"/>
      <w:szCs w:val="14"/>
    </w:rPr>
  </w:style>
  <w:style w:type="character" w:customStyle="1" w:styleId="121">
    <w:name w:val="14t1"/>
    <w:basedOn w:val="54"/>
    <w:qFormat/>
    <w:uiPriority w:val="0"/>
    <w:rPr>
      <w:rFonts w:hint="eastAsia" w:ascii="宋体" w:hAnsi="宋体" w:eastAsia="宋体"/>
      <w:sz w:val="11"/>
      <w:szCs w:val="11"/>
    </w:rPr>
  </w:style>
  <w:style w:type="character" w:customStyle="1" w:styleId="122">
    <w:name w:val="Char Char72"/>
    <w:basedOn w:val="54"/>
    <w:qFormat/>
    <w:uiPriority w:val="0"/>
    <w:rPr>
      <w:rFonts w:eastAsia="宋体" w:cs="Times New Roman"/>
      <w:kern w:val="2"/>
      <w:sz w:val="24"/>
      <w:szCs w:val="24"/>
      <w:lang w:val="en-US" w:eastAsia="zh-CN" w:bidi="ar-SA"/>
    </w:rPr>
  </w:style>
  <w:style w:type="character" w:customStyle="1" w:styleId="123">
    <w:name w:val="Char Char73"/>
    <w:basedOn w:val="54"/>
    <w:qFormat/>
    <w:uiPriority w:val="0"/>
    <w:rPr>
      <w:rFonts w:eastAsia="宋体" w:cs="Times New Roman"/>
      <w:sz w:val="24"/>
      <w:szCs w:val="24"/>
      <w:u w:val="single"/>
      <w:lang w:val="en-US" w:eastAsia="en-US" w:bidi="ar-SA"/>
    </w:rPr>
  </w:style>
  <w:style w:type="character" w:customStyle="1" w:styleId="124">
    <w:name w:val="Quote Char1"/>
    <w:basedOn w:val="54"/>
    <w:link w:val="125"/>
    <w:qFormat/>
    <w:uiPriority w:val="0"/>
    <w:rPr>
      <w:rFonts w:ascii="Calibri" w:hAnsi="Calibri" w:eastAsia="宋体"/>
      <w:i/>
      <w:iCs/>
      <w:color w:val="000000"/>
      <w:kern w:val="2"/>
      <w:sz w:val="22"/>
      <w:szCs w:val="22"/>
      <w:lang w:val="en-US" w:eastAsia="zh-CN" w:bidi="ar-SA"/>
    </w:rPr>
  </w:style>
  <w:style w:type="paragraph" w:customStyle="1" w:styleId="125">
    <w:name w:val="引用1"/>
    <w:basedOn w:val="1"/>
    <w:next w:val="1"/>
    <w:link w:val="124"/>
    <w:qFormat/>
    <w:uiPriority w:val="0"/>
    <w:rPr>
      <w:rFonts w:ascii="Calibri" w:hAnsi="Calibri"/>
      <w:i/>
      <w:iCs/>
      <w:color w:val="000000"/>
      <w:sz w:val="22"/>
      <w:szCs w:val="22"/>
    </w:rPr>
  </w:style>
  <w:style w:type="character" w:customStyle="1" w:styleId="126">
    <w:name w:val="Char Char1"/>
    <w:basedOn w:val="54"/>
    <w:qFormat/>
    <w:uiPriority w:val="0"/>
    <w:rPr>
      <w:rFonts w:eastAsia="宋体" w:cs="Times New Roman"/>
      <w:kern w:val="2"/>
      <w:sz w:val="18"/>
      <w:szCs w:val="18"/>
      <w:lang w:val="en-US" w:eastAsia="zh-CN" w:bidi="ar-SA"/>
    </w:rPr>
  </w:style>
  <w:style w:type="character" w:customStyle="1" w:styleId="127">
    <w:name w:val="Char Char12"/>
    <w:basedOn w:val="54"/>
    <w:qFormat/>
    <w:uiPriority w:val="0"/>
    <w:rPr>
      <w:rFonts w:ascii="宋体" w:hAnsi="Courier New" w:cs="Courier New"/>
      <w:kern w:val="2"/>
      <w:sz w:val="21"/>
      <w:szCs w:val="21"/>
    </w:rPr>
  </w:style>
  <w:style w:type="character" w:customStyle="1" w:styleId="128">
    <w:name w:val="样式3 Char Char"/>
    <w:basedOn w:val="104"/>
    <w:qFormat/>
    <w:uiPriority w:val="0"/>
    <w:rPr>
      <w:rFonts w:ascii="宋体" w:hAnsi="宋体" w:eastAsia="仿宋_GB2312" w:cs="Times New Roman"/>
      <w:kern w:val="2"/>
      <w:sz w:val="32"/>
      <w:szCs w:val="32"/>
      <w:lang w:val="en-US" w:eastAsia="zh-CN" w:bidi="ar-SA"/>
    </w:rPr>
  </w:style>
  <w:style w:type="character" w:customStyle="1" w:styleId="129">
    <w:name w:val="0d1471"/>
    <w:basedOn w:val="54"/>
    <w:qFormat/>
    <w:uiPriority w:val="0"/>
    <w:rPr>
      <w:color w:val="000000"/>
      <w:sz w:val="11"/>
      <w:szCs w:val="11"/>
      <w:u w:val="none"/>
    </w:rPr>
  </w:style>
  <w:style w:type="character" w:customStyle="1" w:styleId="130">
    <w:name w:val="Char Char33"/>
    <w:basedOn w:val="54"/>
    <w:qFormat/>
    <w:uiPriority w:val="0"/>
    <w:rPr>
      <w:rFonts w:ascii="宋体" w:hAnsi="Courier New" w:eastAsia="宋体" w:cs="Times New Roman"/>
      <w:kern w:val="2"/>
      <w:sz w:val="21"/>
      <w:szCs w:val="21"/>
      <w:lang w:val="en-US" w:eastAsia="zh-CN" w:bidi="ar-SA"/>
    </w:rPr>
  </w:style>
  <w:style w:type="character" w:customStyle="1" w:styleId="131">
    <w:name w:val="Char Char71"/>
    <w:basedOn w:val="54"/>
    <w:qFormat/>
    <w:uiPriority w:val="0"/>
    <w:rPr>
      <w:rFonts w:eastAsia="宋体" w:cs="Times New Roman"/>
      <w:sz w:val="24"/>
      <w:lang w:val="en-US" w:eastAsia="zh-CN" w:bidi="ar-SA"/>
    </w:rPr>
  </w:style>
  <w:style w:type="character" w:customStyle="1" w:styleId="132">
    <w:name w:val="Char Char47"/>
    <w:basedOn w:val="54"/>
    <w:qFormat/>
    <w:uiPriority w:val="0"/>
    <w:rPr>
      <w:rFonts w:eastAsia="宋体" w:cs="Times New Roman"/>
      <w:sz w:val="24"/>
      <w:szCs w:val="24"/>
      <w:u w:val="single"/>
      <w:lang w:val="en-US" w:eastAsia="en-US" w:bidi="ar-SA"/>
    </w:rPr>
  </w:style>
  <w:style w:type="character" w:customStyle="1" w:styleId="133">
    <w:name w:val="手改 Char Char"/>
    <w:basedOn w:val="54"/>
    <w:qFormat/>
    <w:uiPriority w:val="0"/>
    <w:rPr>
      <w:kern w:val="2"/>
      <w:sz w:val="21"/>
      <w:szCs w:val="24"/>
    </w:rPr>
  </w:style>
  <w:style w:type="character" w:customStyle="1" w:styleId="134">
    <w:name w:val="Char Char19"/>
    <w:basedOn w:val="54"/>
    <w:qFormat/>
    <w:uiPriority w:val="0"/>
    <w:rPr>
      <w:rFonts w:hAnsi="Arial" w:eastAsia="仿宋_GB2312"/>
      <w:sz w:val="30"/>
    </w:rPr>
  </w:style>
  <w:style w:type="character" w:customStyle="1" w:styleId="135">
    <w:name w:val="Char Char44"/>
    <w:basedOn w:val="54"/>
    <w:qFormat/>
    <w:uiPriority w:val="0"/>
    <w:rPr>
      <w:rFonts w:eastAsia="宋体" w:cs="Times New Roman"/>
      <w:sz w:val="24"/>
      <w:szCs w:val="24"/>
      <w:u w:val="single"/>
      <w:lang w:val="en-US" w:eastAsia="en-US" w:bidi="ar-SA"/>
    </w:rPr>
  </w:style>
  <w:style w:type="character" w:customStyle="1" w:styleId="136">
    <w:name w:val="Char Char3"/>
    <w:basedOn w:val="54"/>
    <w:qFormat/>
    <w:uiPriority w:val="0"/>
    <w:rPr>
      <w:rFonts w:ascii="Arial" w:hAnsi="Arial" w:cs="Arial"/>
      <w:sz w:val="18"/>
      <w:szCs w:val="18"/>
      <w:lang w:eastAsia="en-US"/>
    </w:rPr>
  </w:style>
  <w:style w:type="character" w:customStyle="1" w:styleId="137">
    <w:name w:val="Char Char8"/>
    <w:basedOn w:val="54"/>
    <w:qFormat/>
    <w:uiPriority w:val="0"/>
    <w:rPr>
      <w:kern w:val="2"/>
      <w:sz w:val="18"/>
      <w:szCs w:val="18"/>
    </w:rPr>
  </w:style>
  <w:style w:type="character" w:customStyle="1" w:styleId="138">
    <w:name w:val="Char Char10"/>
    <w:basedOn w:val="54"/>
    <w:qFormat/>
    <w:uiPriority w:val="0"/>
    <w:rPr>
      <w:kern w:val="2"/>
      <w:sz w:val="21"/>
      <w:szCs w:val="24"/>
    </w:rPr>
  </w:style>
  <w:style w:type="character" w:customStyle="1" w:styleId="139">
    <w:name w:val="Char Char60"/>
    <w:basedOn w:val="54"/>
    <w:qFormat/>
    <w:uiPriority w:val="0"/>
    <w:rPr>
      <w:rFonts w:eastAsia="宋体" w:cs="Times New Roman"/>
      <w:kern w:val="2"/>
      <w:sz w:val="18"/>
      <w:szCs w:val="18"/>
      <w:lang w:val="en-US" w:eastAsia="zh-CN" w:bidi="ar-SA"/>
    </w:rPr>
  </w:style>
  <w:style w:type="character" w:customStyle="1" w:styleId="140">
    <w:name w:val="样式1 Char Char"/>
    <w:basedOn w:val="141"/>
    <w:link w:val="142"/>
    <w:qFormat/>
    <w:uiPriority w:val="0"/>
    <w:rPr>
      <w:rFonts w:ascii="宋体" w:hAnsi="宋体" w:eastAsia="宋体" w:cs="Times New Roman"/>
      <w:kern w:val="2"/>
      <w:sz w:val="21"/>
      <w:szCs w:val="21"/>
      <w:lang w:val="en-US" w:eastAsia="zh-CN" w:bidi="ar-SA"/>
    </w:rPr>
  </w:style>
  <w:style w:type="character" w:customStyle="1" w:styleId="141">
    <w:name w:val="Char Char28"/>
    <w:basedOn w:val="54"/>
    <w:qFormat/>
    <w:uiPriority w:val="0"/>
    <w:rPr>
      <w:rFonts w:eastAsia="宋体" w:cs="Times New Roman"/>
      <w:b/>
      <w:bCs/>
      <w:kern w:val="44"/>
      <w:sz w:val="44"/>
      <w:szCs w:val="44"/>
      <w:lang w:val="en-US" w:eastAsia="zh-CN" w:bidi="ar-SA"/>
    </w:rPr>
  </w:style>
  <w:style w:type="paragraph" w:customStyle="1" w:styleId="142">
    <w:name w:val="样式1"/>
    <w:basedOn w:val="1"/>
    <w:next w:val="8"/>
    <w:link w:val="140"/>
    <w:qFormat/>
    <w:uiPriority w:val="0"/>
    <w:pPr>
      <w:spacing w:line="360" w:lineRule="auto"/>
      <w:ind w:firstLine="420" w:firstLineChars="200"/>
    </w:pPr>
    <w:rPr>
      <w:rFonts w:ascii="宋体" w:hAnsi="宋体"/>
      <w:szCs w:val="21"/>
    </w:rPr>
  </w:style>
  <w:style w:type="character" w:customStyle="1" w:styleId="143">
    <w:name w:val="normaltext1"/>
    <w:basedOn w:val="54"/>
    <w:qFormat/>
    <w:uiPriority w:val="0"/>
    <w:rPr>
      <w:rFonts w:hint="default" w:ascii="ˎ̥" w:hAnsi="ˎ̥"/>
      <w:sz w:val="9"/>
      <w:szCs w:val="9"/>
    </w:rPr>
  </w:style>
  <w:style w:type="character" w:customStyle="1" w:styleId="144">
    <w:name w:val="Char Char39"/>
    <w:basedOn w:val="54"/>
    <w:qFormat/>
    <w:uiPriority w:val="0"/>
    <w:rPr>
      <w:rFonts w:eastAsia="宋体" w:cs="Times New Roman"/>
      <w:kern w:val="2"/>
      <w:sz w:val="18"/>
      <w:szCs w:val="18"/>
      <w:lang w:val="en-US" w:eastAsia="zh-CN" w:bidi="ar-SA"/>
    </w:rPr>
  </w:style>
  <w:style w:type="character" w:customStyle="1" w:styleId="145">
    <w:name w:val="Char Char70"/>
    <w:basedOn w:val="54"/>
    <w:qFormat/>
    <w:uiPriority w:val="0"/>
    <w:rPr>
      <w:rFonts w:eastAsia="宋体" w:cs="Times New Roman"/>
      <w:kern w:val="2"/>
      <w:sz w:val="18"/>
      <w:szCs w:val="18"/>
      <w:lang w:val="en-US" w:eastAsia="zh-CN" w:bidi="ar-SA"/>
    </w:rPr>
  </w:style>
  <w:style w:type="character" w:customStyle="1" w:styleId="146">
    <w:name w:val="Char Char5"/>
    <w:basedOn w:val="54"/>
    <w:qFormat/>
    <w:uiPriority w:val="0"/>
    <w:rPr>
      <w:szCs w:val="24"/>
      <w:u w:val="single"/>
      <w:lang w:eastAsia="en-US"/>
    </w:rPr>
  </w:style>
  <w:style w:type="character" w:customStyle="1" w:styleId="147">
    <w:name w:val="Char Char131"/>
    <w:basedOn w:val="54"/>
    <w:qFormat/>
    <w:uiPriority w:val="0"/>
    <w:rPr>
      <w:kern w:val="2"/>
      <w:sz w:val="16"/>
      <w:szCs w:val="16"/>
    </w:rPr>
  </w:style>
  <w:style w:type="character" w:customStyle="1" w:styleId="148">
    <w:name w:val="ht1"/>
    <w:basedOn w:val="54"/>
    <w:qFormat/>
    <w:uiPriority w:val="0"/>
    <w:rPr>
      <w:rFonts w:ascii="黑体" w:eastAsia="黑体"/>
      <w:b/>
      <w:bCs/>
    </w:rPr>
  </w:style>
  <w:style w:type="character" w:customStyle="1" w:styleId="149">
    <w:name w:val="Char Char32"/>
    <w:basedOn w:val="54"/>
    <w:qFormat/>
    <w:uiPriority w:val="0"/>
    <w:rPr>
      <w:rFonts w:ascii="宋体" w:hAnsi="宋体" w:eastAsia="宋体" w:cs="Times New Roman"/>
      <w:kern w:val="2"/>
      <w:sz w:val="24"/>
      <w:szCs w:val="24"/>
      <w:lang w:val="en-US" w:eastAsia="zh-CN" w:bidi="ar-SA"/>
    </w:rPr>
  </w:style>
  <w:style w:type="character" w:customStyle="1" w:styleId="150">
    <w:name w:val="Char Char9"/>
    <w:basedOn w:val="138"/>
    <w:qFormat/>
    <w:uiPriority w:val="0"/>
    <w:rPr>
      <w:b/>
      <w:bCs/>
      <w:kern w:val="2"/>
      <w:sz w:val="21"/>
      <w:szCs w:val="24"/>
    </w:rPr>
  </w:style>
  <w:style w:type="character" w:customStyle="1" w:styleId="151">
    <w:name w:val="font161"/>
    <w:basedOn w:val="54"/>
    <w:qFormat/>
    <w:uiPriority w:val="0"/>
    <w:rPr>
      <w:b/>
      <w:bCs/>
      <w:sz w:val="32"/>
      <w:szCs w:val="32"/>
    </w:rPr>
  </w:style>
  <w:style w:type="character" w:customStyle="1" w:styleId="152">
    <w:name w:val="Char Char2"/>
    <w:basedOn w:val="54"/>
    <w:qFormat/>
    <w:uiPriority w:val="0"/>
    <w:rPr>
      <w:rFonts w:ascii="Arial" w:hAnsi="Arial" w:cs="Arial"/>
      <w:szCs w:val="24"/>
      <w:lang w:eastAsia="en-US"/>
    </w:rPr>
  </w:style>
  <w:style w:type="character" w:customStyle="1" w:styleId="153">
    <w:name w:val="Char Char83"/>
    <w:basedOn w:val="54"/>
    <w:qFormat/>
    <w:uiPriority w:val="0"/>
    <w:rPr>
      <w:rFonts w:ascii="Arial" w:hAnsi="Arial" w:eastAsia="黑体" w:cs="Times New Roman"/>
      <w:b/>
      <w:bCs/>
      <w:kern w:val="2"/>
      <w:sz w:val="28"/>
      <w:szCs w:val="28"/>
      <w:lang w:val="en-US" w:eastAsia="zh-CN" w:bidi="ar-SA"/>
    </w:rPr>
  </w:style>
  <w:style w:type="character" w:customStyle="1" w:styleId="154">
    <w:name w:val="Char Char14"/>
    <w:basedOn w:val="54"/>
    <w:qFormat/>
    <w:uiPriority w:val="0"/>
    <w:rPr>
      <w:kern w:val="2"/>
      <w:sz w:val="18"/>
      <w:szCs w:val="18"/>
    </w:rPr>
  </w:style>
  <w:style w:type="character" w:customStyle="1" w:styleId="155">
    <w:name w:val="Char Char20"/>
    <w:basedOn w:val="54"/>
    <w:qFormat/>
    <w:uiPriority w:val="0"/>
    <w:rPr>
      <w:rFonts w:ascii="宋体" w:hAnsi="宋体" w:cs="宋体"/>
      <w:b/>
      <w:bCs/>
    </w:rPr>
  </w:style>
  <w:style w:type="character" w:customStyle="1" w:styleId="156">
    <w:name w:val="Document Map Char1"/>
    <w:basedOn w:val="54"/>
    <w:qFormat/>
    <w:uiPriority w:val="0"/>
    <w:rPr>
      <w:rFonts w:cs="Times New Roman"/>
      <w:kern w:val="2"/>
      <w:sz w:val="2"/>
    </w:rPr>
  </w:style>
  <w:style w:type="character" w:customStyle="1" w:styleId="157">
    <w:name w:val="标题5 Char Char"/>
    <w:link w:val="158"/>
    <w:qFormat/>
    <w:uiPriority w:val="0"/>
    <w:rPr>
      <w:rFonts w:ascii="Arial" w:hAnsi="Arial"/>
      <w:b/>
      <w:sz w:val="32"/>
      <w:lang w:bidi="ar-SA"/>
    </w:rPr>
  </w:style>
  <w:style w:type="paragraph" w:customStyle="1" w:styleId="158">
    <w:name w:val="标题5"/>
    <w:basedOn w:val="7"/>
    <w:link w:val="157"/>
    <w:qFormat/>
    <w:uiPriority w:val="0"/>
    <w:pPr>
      <w:spacing w:line="413" w:lineRule="auto"/>
    </w:pPr>
    <w:rPr>
      <w:rFonts w:ascii="Arial" w:hAnsi="Arial"/>
      <w:bCs w:val="0"/>
      <w:kern w:val="0"/>
      <w:szCs w:val="20"/>
    </w:rPr>
  </w:style>
  <w:style w:type="character" w:customStyle="1" w:styleId="159">
    <w:name w:val="style21"/>
    <w:basedOn w:val="54"/>
    <w:qFormat/>
    <w:uiPriority w:val="0"/>
    <w:rPr>
      <w:b/>
      <w:bCs/>
      <w:sz w:val="28"/>
      <w:szCs w:val="28"/>
    </w:rPr>
  </w:style>
  <w:style w:type="character" w:customStyle="1" w:styleId="160">
    <w:name w:val="Char Char26"/>
    <w:basedOn w:val="54"/>
    <w:qFormat/>
    <w:uiPriority w:val="0"/>
    <w:rPr>
      <w:rFonts w:eastAsia="宋体" w:cs="Times New Roman"/>
      <w:b/>
      <w:bCs/>
      <w:kern w:val="2"/>
      <w:sz w:val="32"/>
      <w:szCs w:val="32"/>
      <w:lang w:val="en-US" w:eastAsia="zh-CN" w:bidi="ar-SA"/>
    </w:rPr>
  </w:style>
  <w:style w:type="character" w:customStyle="1" w:styleId="161">
    <w:name w:val="title11"/>
    <w:basedOn w:val="54"/>
    <w:qFormat/>
    <w:uiPriority w:val="0"/>
    <w:rPr>
      <w:b/>
      <w:bCs/>
      <w:color w:val="FFFFFF"/>
      <w:sz w:val="11"/>
      <w:szCs w:val="11"/>
    </w:rPr>
  </w:style>
  <w:style w:type="character" w:customStyle="1" w:styleId="162">
    <w:name w:val="Char Char62"/>
    <w:basedOn w:val="54"/>
    <w:qFormat/>
    <w:uiPriority w:val="0"/>
    <w:rPr>
      <w:rFonts w:ascii="宋体" w:hAnsi="Courier New" w:eastAsia="宋体" w:cs="Times New Roman"/>
      <w:kern w:val="2"/>
      <w:sz w:val="21"/>
      <w:szCs w:val="21"/>
      <w:lang w:val="en-US" w:eastAsia="zh-CN" w:bidi="ar-SA"/>
    </w:rPr>
  </w:style>
  <w:style w:type="character" w:customStyle="1" w:styleId="163">
    <w:name w:val="Char Char35"/>
    <w:basedOn w:val="54"/>
    <w:qFormat/>
    <w:uiPriority w:val="0"/>
    <w:rPr>
      <w:rFonts w:ascii="宋体" w:hAnsi="宋体" w:eastAsia="宋体" w:cs="宋体"/>
      <w:color w:val="000000"/>
      <w:sz w:val="24"/>
      <w:szCs w:val="24"/>
      <w:lang w:val="en-US" w:eastAsia="zh-CN" w:bidi="ar-SA"/>
    </w:rPr>
  </w:style>
  <w:style w:type="character" w:customStyle="1" w:styleId="164">
    <w:name w:val="Char Char15"/>
    <w:basedOn w:val="54"/>
    <w:qFormat/>
    <w:uiPriority w:val="0"/>
    <w:rPr>
      <w:kern w:val="2"/>
      <w:sz w:val="21"/>
      <w:szCs w:val="24"/>
    </w:rPr>
  </w:style>
  <w:style w:type="character" w:customStyle="1" w:styleId="165">
    <w:name w:val="Char Char74"/>
    <w:basedOn w:val="54"/>
    <w:qFormat/>
    <w:uiPriority w:val="0"/>
    <w:rPr>
      <w:rFonts w:eastAsia="宋体" w:cs="Times New Roman"/>
      <w:kern w:val="2"/>
      <w:sz w:val="24"/>
      <w:szCs w:val="24"/>
      <w:lang w:val="en-US" w:eastAsia="zh-CN" w:bidi="ar-SA"/>
    </w:rPr>
  </w:style>
  <w:style w:type="character" w:customStyle="1" w:styleId="166">
    <w:name w:val="Char Char78"/>
    <w:basedOn w:val="54"/>
    <w:qFormat/>
    <w:uiPriority w:val="0"/>
    <w:rPr>
      <w:rFonts w:ascii="Arial" w:hAnsi="Arial" w:eastAsia="黑体" w:cs="Times New Roman"/>
      <w:kern w:val="2"/>
      <w:sz w:val="21"/>
      <w:szCs w:val="21"/>
      <w:lang w:val="en-US" w:eastAsia="zh-CN" w:bidi="ar-SA"/>
    </w:rPr>
  </w:style>
  <w:style w:type="character" w:customStyle="1" w:styleId="167">
    <w:name w:val="intel3"/>
    <w:basedOn w:val="54"/>
    <w:qFormat/>
    <w:uiPriority w:val="0"/>
  </w:style>
  <w:style w:type="character" w:customStyle="1" w:styleId="168">
    <w:name w:val="Char Char29"/>
    <w:basedOn w:val="54"/>
    <w:qFormat/>
    <w:uiPriority w:val="0"/>
    <w:rPr>
      <w:rFonts w:cs="Times New Roman"/>
      <w:kern w:val="2"/>
      <w:sz w:val="16"/>
      <w:szCs w:val="16"/>
    </w:rPr>
  </w:style>
  <w:style w:type="character" w:customStyle="1" w:styleId="169">
    <w:name w:val="Char Char16"/>
    <w:basedOn w:val="54"/>
    <w:qFormat/>
    <w:uiPriority w:val="0"/>
    <w:rPr>
      <w:rFonts w:eastAsia="仿宋_GB2312"/>
      <w:sz w:val="30"/>
    </w:rPr>
  </w:style>
  <w:style w:type="character" w:customStyle="1" w:styleId="170">
    <w:name w:val="Char Char22"/>
    <w:basedOn w:val="54"/>
    <w:qFormat/>
    <w:uiPriority w:val="0"/>
    <w:rPr>
      <w:b/>
      <w:bCs/>
      <w:kern w:val="2"/>
      <w:sz w:val="32"/>
      <w:szCs w:val="32"/>
    </w:rPr>
  </w:style>
  <w:style w:type="character" w:customStyle="1" w:styleId="171">
    <w:name w:val="Char Char76"/>
    <w:basedOn w:val="54"/>
    <w:qFormat/>
    <w:uiPriority w:val="0"/>
    <w:rPr>
      <w:rFonts w:eastAsia="宋体" w:cs="Times New Roman"/>
      <w:sz w:val="24"/>
      <w:szCs w:val="24"/>
      <w:u w:val="single"/>
      <w:lang w:val="en-US" w:eastAsia="en-US" w:bidi="ar-SA"/>
    </w:rPr>
  </w:style>
  <w:style w:type="character" w:customStyle="1" w:styleId="172">
    <w:name w:val="批注主题 Char Char"/>
    <w:basedOn w:val="88"/>
    <w:qFormat/>
    <w:uiPriority w:val="0"/>
    <w:rPr>
      <w:rFonts w:ascii="宋体" w:hAnsi="宋体" w:eastAsia="宋体"/>
      <w:kern w:val="2"/>
      <w:sz w:val="24"/>
      <w:szCs w:val="28"/>
      <w:lang w:val="en-US" w:eastAsia="zh-CN" w:bidi="ar-SA"/>
    </w:rPr>
  </w:style>
  <w:style w:type="character" w:customStyle="1" w:styleId="173">
    <w:name w:val="style31"/>
    <w:basedOn w:val="54"/>
    <w:qFormat/>
    <w:uiPriority w:val="0"/>
    <w:rPr>
      <w:sz w:val="10"/>
      <w:szCs w:val="10"/>
    </w:rPr>
  </w:style>
  <w:style w:type="character" w:customStyle="1" w:styleId="174">
    <w:name w:val="Char Char59"/>
    <w:basedOn w:val="54"/>
    <w:qFormat/>
    <w:uiPriority w:val="0"/>
    <w:rPr>
      <w:rFonts w:eastAsia="宋体" w:cs="Times New Roman"/>
      <w:sz w:val="24"/>
      <w:lang w:val="en-US" w:eastAsia="zh-CN" w:bidi="ar-SA"/>
    </w:rPr>
  </w:style>
  <w:style w:type="character" w:customStyle="1" w:styleId="175">
    <w:name w:val="Char Char48"/>
    <w:basedOn w:val="176"/>
    <w:qFormat/>
    <w:uiPriority w:val="0"/>
    <w:rPr>
      <w:rFonts w:ascii="宋体" w:hAnsi="宋体" w:eastAsia="宋体" w:cs="Times New Roman"/>
      <w:kern w:val="2"/>
      <w:sz w:val="24"/>
      <w:szCs w:val="24"/>
      <w:lang w:val="en-US" w:eastAsia="zh-CN" w:bidi="ar-SA"/>
    </w:rPr>
  </w:style>
  <w:style w:type="character" w:customStyle="1" w:styleId="176">
    <w:name w:val="Char Char40"/>
    <w:basedOn w:val="54"/>
    <w:qFormat/>
    <w:uiPriority w:val="0"/>
    <w:rPr>
      <w:rFonts w:ascii="宋体" w:hAnsi="宋体" w:eastAsia="宋体" w:cs="Times New Roman"/>
      <w:kern w:val="2"/>
      <w:sz w:val="24"/>
      <w:szCs w:val="24"/>
      <w:lang w:val="en-US" w:eastAsia="zh-CN" w:bidi="ar-SA"/>
    </w:rPr>
  </w:style>
  <w:style w:type="character" w:customStyle="1" w:styleId="177">
    <w:name w:val="Char Char86"/>
    <w:basedOn w:val="54"/>
    <w:qFormat/>
    <w:uiPriority w:val="0"/>
    <w:rPr>
      <w:rFonts w:eastAsia="宋体" w:cs="Times New Roman"/>
      <w:b/>
      <w:bCs/>
      <w:kern w:val="44"/>
      <w:sz w:val="44"/>
      <w:szCs w:val="44"/>
      <w:lang w:val="en-US" w:eastAsia="zh-CN" w:bidi="ar-SA"/>
    </w:rPr>
  </w:style>
  <w:style w:type="character" w:customStyle="1" w:styleId="178">
    <w:name w:val="Char Char67"/>
    <w:basedOn w:val="54"/>
    <w:qFormat/>
    <w:uiPriority w:val="0"/>
    <w:rPr>
      <w:rFonts w:eastAsia="宋体" w:cs="Times New Roman"/>
      <w:kern w:val="2"/>
      <w:sz w:val="24"/>
      <w:szCs w:val="24"/>
      <w:lang w:val="en-US" w:eastAsia="zh-CN" w:bidi="ar-SA"/>
    </w:rPr>
  </w:style>
  <w:style w:type="character" w:customStyle="1" w:styleId="179">
    <w:name w:val="Char Char27"/>
    <w:basedOn w:val="54"/>
    <w:qFormat/>
    <w:uiPriority w:val="0"/>
    <w:rPr>
      <w:rFonts w:ascii="Arial" w:hAnsi="Arial" w:eastAsia="黑体" w:cs="Times New Roman"/>
      <w:b/>
      <w:bCs/>
      <w:kern w:val="2"/>
      <w:sz w:val="32"/>
      <w:szCs w:val="32"/>
      <w:lang w:val="en-US" w:eastAsia="zh-CN" w:bidi="ar-SA"/>
    </w:rPr>
  </w:style>
  <w:style w:type="character" w:customStyle="1" w:styleId="180">
    <w:name w:val="标题4 Char Char"/>
    <w:link w:val="181"/>
    <w:qFormat/>
    <w:uiPriority w:val="0"/>
    <w:rPr>
      <w:rFonts w:ascii="Arial" w:hAnsi="Arial"/>
      <w:b/>
      <w:sz w:val="32"/>
      <w:lang w:bidi="ar-SA"/>
    </w:rPr>
  </w:style>
  <w:style w:type="paragraph" w:customStyle="1" w:styleId="181">
    <w:name w:val="标题4"/>
    <w:basedOn w:val="6"/>
    <w:next w:val="25"/>
    <w:link w:val="180"/>
    <w:qFormat/>
    <w:uiPriority w:val="0"/>
    <w:pPr>
      <w:spacing w:line="413" w:lineRule="auto"/>
    </w:pPr>
    <w:rPr>
      <w:rFonts w:ascii="Arial" w:hAnsi="Arial"/>
      <w:bCs w:val="0"/>
      <w:kern w:val="0"/>
      <w:szCs w:val="20"/>
    </w:rPr>
  </w:style>
  <w:style w:type="character" w:customStyle="1" w:styleId="182">
    <w:name w:val="Char Char61"/>
    <w:basedOn w:val="54"/>
    <w:qFormat/>
    <w:uiPriority w:val="0"/>
    <w:rPr>
      <w:rFonts w:ascii="宋体" w:hAnsi="宋体" w:eastAsia="宋体" w:cs="Times New Roman"/>
      <w:kern w:val="2"/>
      <w:sz w:val="24"/>
      <w:szCs w:val="24"/>
      <w:lang w:val="en-US" w:eastAsia="zh-CN" w:bidi="ar-SA"/>
    </w:rPr>
  </w:style>
  <w:style w:type="character" w:customStyle="1" w:styleId="183">
    <w:name w:val="Char Char24"/>
    <w:basedOn w:val="54"/>
    <w:qFormat/>
    <w:uiPriority w:val="0"/>
    <w:rPr>
      <w:b/>
      <w:bCs/>
      <w:kern w:val="44"/>
      <w:sz w:val="44"/>
      <w:szCs w:val="44"/>
    </w:rPr>
  </w:style>
  <w:style w:type="character" w:customStyle="1" w:styleId="184">
    <w:name w:val="style161"/>
    <w:basedOn w:val="54"/>
    <w:qFormat/>
    <w:uiPriority w:val="0"/>
    <w:rPr>
      <w:b/>
      <w:bCs/>
      <w:color w:val="333333"/>
    </w:rPr>
  </w:style>
  <w:style w:type="character" w:customStyle="1" w:styleId="185">
    <w:name w:val="Char Char57"/>
    <w:basedOn w:val="54"/>
    <w:qFormat/>
    <w:uiPriority w:val="0"/>
    <w:rPr>
      <w:rFonts w:eastAsia="宋体" w:cs="Times New Roman"/>
      <w:b/>
      <w:bCs/>
      <w:kern w:val="44"/>
      <w:sz w:val="44"/>
      <w:szCs w:val="44"/>
      <w:lang w:val="en-US" w:eastAsia="zh-CN" w:bidi="ar-SA"/>
    </w:rPr>
  </w:style>
  <w:style w:type="character" w:customStyle="1" w:styleId="186">
    <w:name w:val="Char Char50"/>
    <w:basedOn w:val="54"/>
    <w:qFormat/>
    <w:uiPriority w:val="0"/>
    <w:rPr>
      <w:rFonts w:ascii="Arial" w:hAnsi="Arial" w:eastAsia="黑体" w:cs="Times New Roman"/>
      <w:kern w:val="2"/>
      <w:sz w:val="24"/>
      <w:szCs w:val="24"/>
      <w:lang w:val="en-US" w:eastAsia="zh-CN" w:bidi="ar-SA"/>
    </w:rPr>
  </w:style>
  <w:style w:type="character" w:customStyle="1" w:styleId="187">
    <w:name w:val="Char Char41"/>
    <w:basedOn w:val="54"/>
    <w:qFormat/>
    <w:uiPriority w:val="0"/>
    <w:rPr>
      <w:rFonts w:eastAsia="宋体" w:cs="Times New Roman"/>
      <w:kern w:val="2"/>
      <w:sz w:val="18"/>
      <w:szCs w:val="18"/>
      <w:lang w:val="en-US" w:eastAsia="zh-CN" w:bidi="ar-SA"/>
    </w:rPr>
  </w:style>
  <w:style w:type="character" w:customStyle="1" w:styleId="188">
    <w:name w:val="Char Char45"/>
    <w:basedOn w:val="54"/>
    <w:qFormat/>
    <w:uiPriority w:val="0"/>
    <w:rPr>
      <w:rFonts w:eastAsia="宋体" w:cs="Times New Roman"/>
      <w:kern w:val="2"/>
      <w:sz w:val="24"/>
      <w:szCs w:val="24"/>
      <w:lang w:val="en-US" w:eastAsia="zh-CN" w:bidi="ar-SA"/>
    </w:rPr>
  </w:style>
  <w:style w:type="character" w:customStyle="1" w:styleId="189">
    <w:name w:val="Endnote Text Char1"/>
    <w:basedOn w:val="54"/>
    <w:qFormat/>
    <w:uiPriority w:val="0"/>
    <w:rPr>
      <w:rFonts w:cs="Times New Roman"/>
      <w:kern w:val="2"/>
      <w:sz w:val="24"/>
      <w:szCs w:val="24"/>
    </w:rPr>
  </w:style>
  <w:style w:type="character" w:customStyle="1" w:styleId="190">
    <w:name w:val="Char Char18"/>
    <w:basedOn w:val="54"/>
    <w:qFormat/>
    <w:uiPriority w:val="0"/>
    <w:rPr>
      <w:rFonts w:eastAsia="仿宋_GB2312"/>
      <w:sz w:val="30"/>
    </w:rPr>
  </w:style>
  <w:style w:type="character" w:customStyle="1" w:styleId="191">
    <w:name w:val="ss16"/>
    <w:basedOn w:val="54"/>
    <w:qFormat/>
    <w:uiPriority w:val="0"/>
    <w:rPr>
      <w:rFonts w:hint="eastAsia" w:ascii="宋体" w:hAnsi="宋体" w:eastAsia="宋体"/>
      <w:color w:val="000000"/>
      <w:sz w:val="9"/>
      <w:szCs w:val="9"/>
    </w:rPr>
  </w:style>
  <w:style w:type="character" w:customStyle="1" w:styleId="192">
    <w:name w:val="Char Char49"/>
    <w:basedOn w:val="54"/>
    <w:qFormat/>
    <w:uiPriority w:val="0"/>
    <w:rPr>
      <w:rFonts w:ascii="Arial" w:hAnsi="Arial" w:eastAsia="黑体" w:cs="Times New Roman"/>
      <w:kern w:val="2"/>
      <w:sz w:val="21"/>
      <w:szCs w:val="21"/>
      <w:lang w:val="en-US" w:eastAsia="zh-CN" w:bidi="ar-SA"/>
    </w:rPr>
  </w:style>
  <w:style w:type="character" w:customStyle="1" w:styleId="193">
    <w:name w:val="Char Char52"/>
    <w:basedOn w:val="54"/>
    <w:qFormat/>
    <w:uiPriority w:val="0"/>
    <w:rPr>
      <w:rFonts w:ascii="Arial" w:hAnsi="Arial" w:eastAsia="黑体" w:cs="Times New Roman"/>
      <w:b/>
      <w:bCs/>
      <w:kern w:val="2"/>
      <w:sz w:val="24"/>
      <w:szCs w:val="24"/>
      <w:lang w:val="en-US" w:eastAsia="zh-CN" w:bidi="ar-SA"/>
    </w:rPr>
  </w:style>
  <w:style w:type="character" w:customStyle="1" w:styleId="194">
    <w:name w:val="Char Char53"/>
    <w:basedOn w:val="54"/>
    <w:qFormat/>
    <w:uiPriority w:val="0"/>
    <w:rPr>
      <w:rFonts w:eastAsia="宋体" w:cs="Times New Roman"/>
      <w:b/>
      <w:bCs/>
      <w:kern w:val="2"/>
      <w:sz w:val="28"/>
      <w:szCs w:val="28"/>
      <w:lang w:val="en-US" w:eastAsia="zh-CN" w:bidi="ar-SA"/>
    </w:rPr>
  </w:style>
  <w:style w:type="character" w:customStyle="1" w:styleId="195">
    <w:name w:val="Char Char43"/>
    <w:basedOn w:val="54"/>
    <w:qFormat/>
    <w:uiPriority w:val="0"/>
    <w:rPr>
      <w:rFonts w:eastAsia="宋体" w:cs="Times New Roman"/>
      <w:kern w:val="2"/>
      <w:sz w:val="24"/>
      <w:szCs w:val="24"/>
      <w:lang w:val="en-US" w:eastAsia="zh-CN" w:bidi="ar-SA"/>
    </w:rPr>
  </w:style>
  <w:style w:type="character" w:customStyle="1" w:styleId="196">
    <w:name w:val="Char Char82"/>
    <w:basedOn w:val="54"/>
    <w:qFormat/>
    <w:uiPriority w:val="0"/>
    <w:rPr>
      <w:rFonts w:eastAsia="宋体" w:cs="Times New Roman"/>
      <w:b/>
      <w:bCs/>
      <w:kern w:val="2"/>
      <w:sz w:val="28"/>
      <w:szCs w:val="28"/>
      <w:lang w:val="en-US" w:eastAsia="zh-CN" w:bidi="ar-SA"/>
    </w:rPr>
  </w:style>
  <w:style w:type="character" w:customStyle="1" w:styleId="197">
    <w:name w:val="Char Char13"/>
    <w:basedOn w:val="54"/>
    <w:qFormat/>
    <w:uiPriority w:val="0"/>
    <w:rPr>
      <w:kern w:val="2"/>
      <w:sz w:val="18"/>
      <w:szCs w:val="18"/>
    </w:rPr>
  </w:style>
  <w:style w:type="character" w:customStyle="1" w:styleId="198">
    <w:name w:val="正文文字4 Char Char"/>
    <w:basedOn w:val="54"/>
    <w:qFormat/>
    <w:uiPriority w:val="0"/>
    <w:rPr>
      <w:kern w:val="2"/>
      <w:sz w:val="21"/>
      <w:szCs w:val="24"/>
    </w:rPr>
  </w:style>
  <w:style w:type="character" w:customStyle="1" w:styleId="199">
    <w:name w:val="Char Char65"/>
    <w:basedOn w:val="131"/>
    <w:qFormat/>
    <w:uiPriority w:val="0"/>
    <w:rPr>
      <w:rFonts w:eastAsia="宋体" w:cs="Times New Roman"/>
      <w:b/>
      <w:bCs/>
      <w:kern w:val="2"/>
      <w:sz w:val="24"/>
      <w:szCs w:val="24"/>
      <w:lang w:val="en-US" w:eastAsia="zh-CN" w:bidi="ar-SA"/>
    </w:rPr>
  </w:style>
  <w:style w:type="character" w:customStyle="1" w:styleId="200">
    <w:name w:val="apple-converted-space"/>
    <w:basedOn w:val="54"/>
    <w:qFormat/>
    <w:uiPriority w:val="0"/>
  </w:style>
  <w:style w:type="character" w:customStyle="1" w:styleId="201">
    <w:name w:val="Char Char58"/>
    <w:basedOn w:val="54"/>
    <w:qFormat/>
    <w:uiPriority w:val="0"/>
    <w:rPr>
      <w:rFonts w:cs="Times New Roman"/>
      <w:kern w:val="2"/>
      <w:sz w:val="16"/>
      <w:szCs w:val="16"/>
    </w:rPr>
  </w:style>
  <w:style w:type="character" w:customStyle="1" w:styleId="202">
    <w:name w:val="Plain Text Char"/>
    <w:basedOn w:val="54"/>
    <w:qFormat/>
    <w:uiPriority w:val="0"/>
    <w:rPr>
      <w:rFonts w:ascii="宋体" w:hAnsi="Courier New" w:cs="Courier New"/>
      <w:kern w:val="2"/>
      <w:sz w:val="21"/>
      <w:szCs w:val="21"/>
    </w:rPr>
  </w:style>
  <w:style w:type="character" w:customStyle="1" w:styleId="203">
    <w:name w:val="Char Char31"/>
    <w:basedOn w:val="54"/>
    <w:qFormat/>
    <w:uiPriority w:val="0"/>
    <w:rPr>
      <w:rFonts w:eastAsia="宋体" w:cs="Times New Roman"/>
      <w:kern w:val="2"/>
      <w:sz w:val="18"/>
      <w:szCs w:val="18"/>
      <w:lang w:val="en-US" w:eastAsia="zh-CN" w:bidi="ar-SA"/>
    </w:rPr>
  </w:style>
  <w:style w:type="character" w:customStyle="1" w:styleId="204">
    <w:name w:val="Char Char34"/>
    <w:basedOn w:val="54"/>
    <w:qFormat/>
    <w:uiPriority w:val="0"/>
    <w:rPr>
      <w:rFonts w:eastAsia="宋体" w:cs="Times New Roman"/>
      <w:kern w:val="2"/>
      <w:sz w:val="18"/>
      <w:szCs w:val="18"/>
      <w:lang w:val="en-US" w:eastAsia="zh-CN" w:bidi="ar-SA"/>
    </w:rPr>
  </w:style>
  <w:style w:type="character" w:customStyle="1" w:styleId="205">
    <w:name w:val="Char Char80"/>
    <w:basedOn w:val="54"/>
    <w:qFormat/>
    <w:uiPriority w:val="0"/>
    <w:rPr>
      <w:rFonts w:eastAsia="宋体" w:cs="Times New Roman"/>
      <w:b/>
      <w:bCs/>
      <w:kern w:val="2"/>
      <w:sz w:val="24"/>
      <w:szCs w:val="24"/>
      <w:lang w:val="en-US" w:eastAsia="zh-CN" w:bidi="ar-SA"/>
    </w:rPr>
  </w:style>
  <w:style w:type="character" w:customStyle="1" w:styleId="206">
    <w:name w:val="docpro"/>
    <w:basedOn w:val="54"/>
    <w:qFormat/>
    <w:uiPriority w:val="0"/>
  </w:style>
  <w:style w:type="character" w:customStyle="1" w:styleId="207">
    <w:name w:val="Char Char51"/>
    <w:basedOn w:val="54"/>
    <w:qFormat/>
    <w:uiPriority w:val="0"/>
    <w:rPr>
      <w:rFonts w:eastAsia="宋体" w:cs="Times New Roman"/>
      <w:b/>
      <w:bCs/>
      <w:kern w:val="2"/>
      <w:sz w:val="24"/>
      <w:szCs w:val="24"/>
      <w:lang w:val="en-US" w:eastAsia="zh-CN" w:bidi="ar-SA"/>
    </w:rPr>
  </w:style>
  <w:style w:type="character" w:customStyle="1" w:styleId="208">
    <w:name w:val="Char Char68"/>
    <w:basedOn w:val="54"/>
    <w:qFormat/>
    <w:uiPriority w:val="0"/>
    <w:rPr>
      <w:rFonts w:eastAsia="宋体" w:cs="Times New Roman"/>
      <w:kern w:val="2"/>
      <w:sz w:val="18"/>
      <w:szCs w:val="18"/>
      <w:lang w:val="en-US" w:eastAsia="zh-CN" w:bidi="ar-SA"/>
    </w:rPr>
  </w:style>
  <w:style w:type="character" w:customStyle="1" w:styleId="209">
    <w:name w:val="Char Char6"/>
    <w:basedOn w:val="54"/>
    <w:qFormat/>
    <w:uiPriority w:val="0"/>
    <w:rPr>
      <w:rFonts w:ascii="宋体" w:hAnsi="宋体"/>
      <w:kern w:val="2"/>
      <w:sz w:val="28"/>
      <w:szCs w:val="28"/>
    </w:rPr>
  </w:style>
  <w:style w:type="character" w:customStyle="1" w:styleId="210">
    <w:name w:val="Char Char111"/>
    <w:basedOn w:val="54"/>
    <w:qFormat/>
    <w:uiPriority w:val="0"/>
    <w:rPr>
      <w:rFonts w:ascii="宋体" w:hAnsi="宋体" w:cs="宋体"/>
      <w:color w:val="000000"/>
      <w:sz w:val="24"/>
      <w:szCs w:val="24"/>
    </w:rPr>
  </w:style>
  <w:style w:type="character" w:customStyle="1" w:styleId="211">
    <w:name w:val="Char Char55"/>
    <w:basedOn w:val="54"/>
    <w:qFormat/>
    <w:uiPriority w:val="0"/>
    <w:rPr>
      <w:rFonts w:eastAsia="宋体" w:cs="Times New Roman"/>
      <w:b/>
      <w:bCs/>
      <w:kern w:val="2"/>
      <w:sz w:val="32"/>
      <w:szCs w:val="32"/>
      <w:lang w:val="en-US" w:eastAsia="zh-CN" w:bidi="ar-SA"/>
    </w:rPr>
  </w:style>
  <w:style w:type="character" w:customStyle="1" w:styleId="212">
    <w:name w:val="Char Char30"/>
    <w:basedOn w:val="54"/>
    <w:qFormat/>
    <w:uiPriority w:val="0"/>
    <w:rPr>
      <w:rFonts w:eastAsia="宋体" w:cs="Times New Roman"/>
      <w:sz w:val="24"/>
      <w:lang w:val="en-US" w:eastAsia="zh-CN" w:bidi="ar-SA"/>
    </w:rPr>
  </w:style>
  <w:style w:type="character" w:customStyle="1" w:styleId="213">
    <w:name w:val="Char Char25"/>
    <w:basedOn w:val="54"/>
    <w:qFormat/>
    <w:uiPriority w:val="0"/>
    <w:rPr>
      <w:rFonts w:ascii="Arial" w:hAnsi="Arial" w:eastAsia="黑体" w:cs="Times New Roman"/>
      <w:b/>
      <w:bCs/>
      <w:kern w:val="2"/>
      <w:sz w:val="28"/>
      <w:szCs w:val="28"/>
      <w:lang w:val="en-US" w:eastAsia="zh-CN" w:bidi="ar-SA"/>
    </w:rPr>
  </w:style>
  <w:style w:type="character" w:customStyle="1" w:styleId="214">
    <w:name w:val="Char Char46"/>
    <w:basedOn w:val="54"/>
    <w:qFormat/>
    <w:uiPriority w:val="0"/>
    <w:rPr>
      <w:rFonts w:eastAsia="宋体" w:cs="Times New Roman"/>
      <w:sz w:val="24"/>
      <w:lang w:val="en-US" w:eastAsia="zh-CN" w:bidi="ar-SA"/>
    </w:rPr>
  </w:style>
  <w:style w:type="character" w:customStyle="1" w:styleId="215">
    <w:name w:val="Char Char7"/>
    <w:basedOn w:val="54"/>
    <w:qFormat/>
    <w:uiPriority w:val="0"/>
    <w:rPr>
      <w:sz w:val="28"/>
      <w:szCs w:val="24"/>
    </w:rPr>
  </w:style>
  <w:style w:type="character" w:customStyle="1" w:styleId="216">
    <w:name w:val="Char Char79"/>
    <w:basedOn w:val="54"/>
    <w:qFormat/>
    <w:uiPriority w:val="0"/>
    <w:rPr>
      <w:rFonts w:ascii="Arial" w:hAnsi="Arial" w:eastAsia="黑体" w:cs="Times New Roman"/>
      <w:kern w:val="2"/>
      <w:sz w:val="24"/>
      <w:szCs w:val="24"/>
      <w:lang w:val="en-US" w:eastAsia="zh-CN" w:bidi="ar-SA"/>
    </w:rPr>
  </w:style>
  <w:style w:type="character" w:customStyle="1" w:styleId="217">
    <w:name w:val="color_red1"/>
    <w:basedOn w:val="54"/>
    <w:qFormat/>
    <w:uiPriority w:val="0"/>
    <w:rPr>
      <w:color w:val="FA0004"/>
    </w:rPr>
  </w:style>
  <w:style w:type="character" w:customStyle="1" w:styleId="218">
    <w:name w:val="Char Char37"/>
    <w:basedOn w:val="54"/>
    <w:qFormat/>
    <w:uiPriority w:val="0"/>
    <w:rPr>
      <w:rFonts w:cs="Times New Roman"/>
      <w:kern w:val="2"/>
      <w:sz w:val="24"/>
      <w:szCs w:val="24"/>
    </w:rPr>
  </w:style>
  <w:style w:type="paragraph" w:customStyle="1" w:styleId="21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223">
    <w:name w:val="样式3"/>
    <w:basedOn w:val="7"/>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5">
    <w:name w:val="WW-表格标题"/>
    <w:basedOn w:val="226"/>
    <w:qFormat/>
    <w:uiPriority w:val="0"/>
  </w:style>
  <w:style w:type="paragraph" w:customStyle="1" w:styleId="226">
    <w:name w:val="WW-表格内容"/>
    <w:basedOn w:val="1"/>
    <w:qFormat/>
    <w:uiPriority w:val="0"/>
    <w:pPr>
      <w:suppressLineNumbers/>
      <w:suppressAutoHyphens/>
    </w:pPr>
  </w:style>
  <w:style w:type="paragraph" w:customStyle="1" w:styleId="227">
    <w:name w:val="Char Char Char Char Char Char Char"/>
    <w:basedOn w:val="1"/>
    <w:qFormat/>
    <w:uiPriority w:val="0"/>
    <w:rPr>
      <w:snapToGrid w:val="0"/>
      <w:color w:val="000000"/>
      <w:spacing w:val="16"/>
      <w:sz w:val="22"/>
      <w:szCs w:val="22"/>
    </w:rPr>
  </w:style>
  <w:style w:type="paragraph" w:customStyle="1" w:styleId="228">
    <w:name w:val="List Paragraph"/>
    <w:basedOn w:val="1"/>
    <w:qFormat/>
    <w:uiPriority w:val="0"/>
    <w:pPr>
      <w:ind w:firstLine="420" w:firstLineChars="200"/>
    </w:pPr>
    <w:rPr>
      <w:sz w:val="28"/>
      <w:szCs w:val="28"/>
    </w:rPr>
  </w:style>
  <w:style w:type="paragraph" w:customStyle="1" w:styleId="229">
    <w:name w:val="样式 标题 3 + (中文) 黑体 小四 非加粗 段前: 7.8 磅 段后: 0 磅 行距: 固定值 20 磅"/>
    <w:basedOn w:val="7"/>
    <w:next w:val="1"/>
    <w:qFormat/>
    <w:uiPriority w:val="0"/>
    <w:pPr>
      <w:spacing w:line="400" w:lineRule="exact"/>
    </w:pPr>
    <w:rPr>
      <w:rFonts w:eastAsia="黑体" w:cs="宋体"/>
      <w:b w:val="0"/>
      <w:bCs w:val="0"/>
      <w:sz w:val="24"/>
      <w:szCs w:val="20"/>
    </w:rPr>
  </w:style>
  <w:style w:type="paragraph" w:customStyle="1" w:styleId="23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1">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2">
    <w:name w:val="样式2"/>
    <w:basedOn w:val="6"/>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3">
    <w:name w:val="Char"/>
    <w:basedOn w:val="1"/>
    <w:qFormat/>
    <w:uiPriority w:val="0"/>
  </w:style>
  <w:style w:type="paragraph" w:customStyle="1" w:styleId="234">
    <w:name w:val="表格标题"/>
    <w:basedOn w:val="235"/>
    <w:qFormat/>
    <w:uiPriority w:val="0"/>
  </w:style>
  <w:style w:type="paragraph" w:customStyle="1" w:styleId="235">
    <w:name w:val="表格内容"/>
    <w:basedOn w:val="1"/>
    <w:qFormat/>
    <w:uiPriority w:val="0"/>
    <w:pPr>
      <w:suppressLineNumbers/>
      <w:suppressAutoHyphens/>
    </w:pPr>
  </w:style>
  <w:style w:type="paragraph" w:customStyle="1" w:styleId="236">
    <w:name w:val="目录"/>
    <w:basedOn w:val="1"/>
    <w:qFormat/>
    <w:uiPriority w:val="0"/>
    <w:pPr>
      <w:widowControl/>
      <w:jc w:val="center"/>
    </w:pPr>
    <w:rPr>
      <w:rFonts w:ascii="宋体"/>
      <w:b/>
      <w:kern w:val="0"/>
      <w:sz w:val="36"/>
    </w:rPr>
  </w:style>
  <w:style w:type="paragraph" w:customStyle="1" w:styleId="237">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9">
    <w:name w:val="Char Char1 Char Char Char Char Char Char Char"/>
    <w:basedOn w:val="1"/>
    <w:qFormat/>
    <w:uiPriority w:val="0"/>
    <w:pPr>
      <w:pageBreakBefore/>
    </w:pPr>
    <w:rPr>
      <w:rFonts w:ascii="Calibri" w:hAnsi="Calibri" w:cs="Calibri"/>
    </w:rPr>
  </w:style>
  <w:style w:type="paragraph" w:customStyle="1" w:styleId="240">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1">
    <w:name w:val="pa-27"/>
    <w:basedOn w:val="1"/>
    <w:qFormat/>
    <w:uiPriority w:val="0"/>
    <w:pPr>
      <w:widowControl/>
      <w:spacing w:line="360" w:lineRule="atLeast"/>
      <w:ind w:firstLine="420"/>
    </w:pPr>
    <w:rPr>
      <w:rFonts w:ascii="宋体" w:hAnsi="宋体" w:cs="宋体"/>
      <w:kern w:val="0"/>
      <w:sz w:val="24"/>
    </w:rPr>
  </w:style>
  <w:style w:type="paragraph" w:customStyle="1" w:styleId="24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样式 标题 1 + (西文) 宋体 非加粗 黑色 两端对齐 左侧:  0 厘米 首行缩进:  0.89 厘米"/>
    <w:basedOn w:val="5"/>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5">
    <w:name w:val="表格"/>
    <w:basedOn w:val="1"/>
    <w:qFormat/>
    <w:uiPriority w:val="0"/>
    <w:pPr>
      <w:jc w:val="center"/>
      <w:textAlignment w:val="center"/>
    </w:pPr>
    <w:rPr>
      <w:rFonts w:ascii="华文细黑" w:hAnsi="华文细黑"/>
      <w:kern w:val="0"/>
    </w:rPr>
  </w:style>
  <w:style w:type="paragraph" w:customStyle="1" w:styleId="246">
    <w:name w:val="自定样式1"/>
    <w:basedOn w:val="1"/>
    <w:qFormat/>
    <w:uiPriority w:val="0"/>
    <w:pPr>
      <w:suppressAutoHyphens/>
      <w:jc w:val="center"/>
    </w:pPr>
    <w:rPr>
      <w:rFonts w:ascii="宋体" w:hAnsi="宋体"/>
      <w:color w:val="000000"/>
      <w:sz w:val="18"/>
    </w:rPr>
  </w:style>
  <w:style w:type="paragraph" w:customStyle="1" w:styleId="24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_Style 246"/>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5">
    <w:name w:val="Char9"/>
    <w:basedOn w:val="18"/>
    <w:qFormat/>
    <w:uiPriority w:val="0"/>
    <w:pPr>
      <w:spacing w:line="360" w:lineRule="auto"/>
      <w:ind w:firstLine="200" w:firstLineChars="200"/>
    </w:pPr>
    <w:rPr>
      <w:rFonts w:ascii="Tahoma" w:hAnsi="Tahoma"/>
      <w:sz w:val="24"/>
    </w:rPr>
  </w:style>
  <w:style w:type="paragraph" w:customStyle="1" w:styleId="2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8">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9">
    <w:name w:val="pa-34"/>
    <w:basedOn w:val="1"/>
    <w:qFormat/>
    <w:uiPriority w:val="0"/>
    <w:pPr>
      <w:widowControl/>
      <w:spacing w:line="360" w:lineRule="atLeast"/>
      <w:ind w:firstLine="420"/>
      <w:jc w:val="left"/>
    </w:pPr>
    <w:rPr>
      <w:rFonts w:ascii="宋体" w:hAnsi="宋体" w:cs="宋体"/>
      <w:kern w:val="0"/>
      <w:sz w:val="24"/>
    </w:rPr>
  </w:style>
  <w:style w:type="paragraph" w:customStyle="1" w:styleId="260">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表格文字"/>
    <w:basedOn w:val="1"/>
    <w:qFormat/>
    <w:uiPriority w:val="0"/>
    <w:pPr>
      <w:adjustRightInd w:val="0"/>
      <w:spacing w:line="420" w:lineRule="atLeast"/>
      <w:jc w:val="left"/>
      <w:textAlignment w:val="baseline"/>
    </w:pPr>
    <w:rPr>
      <w:kern w:val="0"/>
    </w:rPr>
  </w:style>
  <w:style w:type="paragraph" w:customStyle="1" w:styleId="262">
    <w:name w:val="正  文"/>
    <w:basedOn w:val="1"/>
    <w:qFormat/>
    <w:uiPriority w:val="0"/>
    <w:pPr>
      <w:spacing w:line="360" w:lineRule="auto"/>
      <w:ind w:firstLine="200" w:firstLineChars="200"/>
    </w:pPr>
    <w:rPr>
      <w:rFonts w:ascii="宋体"/>
      <w:sz w:val="24"/>
    </w:rPr>
  </w:style>
  <w:style w:type="paragraph" w:customStyle="1" w:styleId="263">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4">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40817</Words>
  <Characters>43251</Characters>
  <Lines>374</Lines>
  <Paragraphs>105</Paragraphs>
  <TotalTime>1</TotalTime>
  <ScaleCrop>false</ScaleCrop>
  <LinksUpToDate>false</LinksUpToDate>
  <CharactersWithSpaces>47945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ch</cp:lastModifiedBy>
  <cp:lastPrinted>2022-10-09T08:59:00Z</cp:lastPrinted>
  <dcterms:modified xsi:type="dcterms:W3CDTF">2023-07-18T08:57:03Z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DDE1713069AB4EBE8366759C7757E569</vt:lpwstr>
  </property>
</Properties>
</file>