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800" w:lineRule="exact"/>
        <w:ind w:firstLine="0" w:firstLineChars="0"/>
        <w:jc w:val="both"/>
        <w:rPr>
          <w:rFonts w:hint="eastAsia" w:ascii="宋体" w:hAnsi="宋体" w:cs="宋体"/>
          <w:b/>
          <w:snapToGrid w:val="0"/>
          <w:color w:val="auto"/>
          <w:kern w:val="0"/>
          <w:sz w:val="52"/>
          <w:szCs w:val="52"/>
          <w:highlight w:val="none"/>
          <w:lang w:eastAsia="zh-CN"/>
        </w:rPr>
      </w:pPr>
      <w:bookmarkStart w:id="0" w:name="_Toc287620665"/>
    </w:p>
    <w:p>
      <w:pPr>
        <w:pStyle w:val="18"/>
        <w:spacing w:line="800" w:lineRule="exact"/>
        <w:ind w:firstLine="0" w:firstLineChars="0"/>
        <w:jc w:val="center"/>
        <w:rPr>
          <w:rFonts w:hint="eastAsia" w:ascii="宋体" w:hAnsi="宋体" w:eastAsia="宋体" w:cs="宋体"/>
          <w:b/>
          <w:snapToGrid w:val="0"/>
          <w:color w:val="auto"/>
          <w:kern w:val="0"/>
          <w:sz w:val="52"/>
          <w:szCs w:val="52"/>
          <w:highlight w:val="none"/>
          <w:lang w:eastAsia="zh-CN"/>
        </w:rPr>
      </w:pPr>
      <w:r>
        <w:rPr>
          <w:rFonts w:hint="eastAsia" w:ascii="宋体" w:hAnsi="宋体" w:cs="宋体"/>
          <w:b/>
          <w:snapToGrid w:val="0"/>
          <w:color w:val="auto"/>
          <w:kern w:val="0"/>
          <w:sz w:val="52"/>
          <w:szCs w:val="52"/>
          <w:highlight w:val="none"/>
          <w:lang w:eastAsia="zh-CN"/>
        </w:rPr>
        <w:t>安居古城2023年迎春灯饰工程</w:t>
      </w:r>
    </w:p>
    <w:p>
      <w:pPr>
        <w:autoSpaceDE w:val="0"/>
        <w:autoSpaceDN w:val="0"/>
        <w:adjustRightInd w:val="0"/>
        <w:snapToGrid w:val="0"/>
        <w:spacing w:line="360" w:lineRule="auto"/>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pStyle w:val="2"/>
        <w:rPr>
          <w:color w:val="auto"/>
          <w:highlight w:val="none"/>
        </w:rPr>
      </w:pPr>
    </w:p>
    <w:p>
      <w:pPr>
        <w:pStyle w:val="56"/>
        <w:rPr>
          <w:color w:val="auto"/>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100"/>
          <w:szCs w:val="100"/>
          <w:highlight w:val="none"/>
        </w:rPr>
      </w:pPr>
      <w:r>
        <w:rPr>
          <w:rFonts w:hint="eastAsia" w:ascii="宋体" w:hAnsi="宋体" w:cs="宋体"/>
          <w:b/>
          <w:color w:val="auto"/>
          <w:kern w:val="0"/>
          <w:sz w:val="100"/>
          <w:szCs w:val="100"/>
          <w:highlight w:val="none"/>
          <w:lang w:val="en-US" w:eastAsia="zh-CN"/>
        </w:rPr>
        <w:t>竞争性比选</w:t>
      </w:r>
      <w:r>
        <w:rPr>
          <w:rFonts w:hint="eastAsia" w:ascii="宋体" w:hAnsi="宋体" w:cs="宋体"/>
          <w:b/>
          <w:color w:val="auto"/>
          <w:kern w:val="0"/>
          <w:sz w:val="100"/>
          <w:szCs w:val="100"/>
          <w:highlight w:val="none"/>
        </w:rPr>
        <w:t>文件</w:t>
      </w:r>
    </w:p>
    <w:p>
      <w:pPr>
        <w:autoSpaceDE w:val="0"/>
        <w:autoSpaceDN w:val="0"/>
        <w:adjustRightInd w:val="0"/>
        <w:snapToGrid w:val="0"/>
        <w:spacing w:line="360" w:lineRule="auto"/>
        <w:jc w:val="center"/>
        <w:rPr>
          <w:rFonts w:hint="default" w:ascii="宋体" w:hAnsi="宋体" w:cs="宋体"/>
          <w:b/>
          <w:color w:val="auto"/>
          <w:sz w:val="28"/>
          <w:szCs w:val="28"/>
          <w:highlight w:val="none"/>
          <w:lang w:val="en-US"/>
        </w:rPr>
      </w:pPr>
    </w:p>
    <w:p>
      <w:pPr>
        <w:autoSpaceDE w:val="0"/>
        <w:autoSpaceDN w:val="0"/>
        <w:adjustRightInd w:val="0"/>
        <w:snapToGrid w:val="0"/>
        <w:spacing w:line="360" w:lineRule="auto"/>
        <w:rPr>
          <w:rFonts w:ascii="宋体" w:hAnsi="宋体" w:cs="宋体"/>
          <w:b/>
          <w:color w:val="auto"/>
          <w:sz w:val="28"/>
          <w:szCs w:val="28"/>
          <w:highlight w:val="none"/>
        </w:rPr>
      </w:pPr>
    </w:p>
    <w:p>
      <w:pPr>
        <w:pStyle w:val="2"/>
        <w:rPr>
          <w:color w:val="auto"/>
          <w:highlight w:val="none"/>
        </w:rPr>
      </w:pPr>
    </w:p>
    <w:p>
      <w:pPr>
        <w:autoSpaceDE w:val="0"/>
        <w:autoSpaceDN w:val="0"/>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tabs>
          <w:tab w:val="left" w:pos="6219"/>
        </w:tabs>
        <w:autoSpaceDE w:val="0"/>
        <w:autoSpaceDN w:val="0"/>
        <w:adjustRightInd w:val="0"/>
        <w:snapToGrid w:val="0"/>
        <w:spacing w:line="360" w:lineRule="auto"/>
        <w:ind w:firstLine="562" w:firstLineChars="200"/>
        <w:rPr>
          <w:rFonts w:ascii="宋体" w:hAnsi="宋体" w:cs="宋体"/>
          <w:b/>
          <w:color w:val="auto"/>
          <w:w w:val="99"/>
          <w:kern w:val="0"/>
          <w:sz w:val="28"/>
          <w:szCs w:val="28"/>
          <w:highlight w:val="none"/>
        </w:rPr>
      </w:pPr>
      <w:r>
        <w:rPr>
          <w:rFonts w:hint="eastAsia" w:ascii="宋体" w:hAnsi="宋体" w:cs="宋体"/>
          <w:b/>
          <w:color w:val="auto"/>
          <w:sz w:val="28"/>
          <w:szCs w:val="28"/>
          <w:highlight w:val="none"/>
          <w:lang w:val="en-US" w:eastAsia="zh-CN"/>
        </w:rPr>
        <w:t>比   选</w:t>
      </w:r>
      <w:r>
        <w:rPr>
          <w:rFonts w:hint="eastAsia" w:ascii="宋体" w:hAnsi="宋体" w:cs="宋体"/>
          <w:b/>
          <w:color w:val="auto"/>
          <w:sz w:val="28"/>
          <w:szCs w:val="28"/>
          <w:highlight w:val="none"/>
        </w:rPr>
        <w:t xml:space="preserve">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重庆安居古城华夏文化旅游发展有限公司</w:t>
      </w:r>
      <w:r>
        <w:rPr>
          <w:rFonts w:hint="eastAsia" w:ascii="宋体" w:hAnsi="宋体" w:cs="宋体"/>
          <w:b/>
          <w:color w:val="auto"/>
          <w:sz w:val="28"/>
          <w:szCs w:val="28"/>
          <w:highlight w:val="none"/>
          <w:u w:val="single"/>
        </w:rPr>
        <w:t xml:space="preserve">  </w:t>
      </w:r>
      <w:r>
        <w:rPr>
          <w:rFonts w:hint="eastAsia" w:ascii="宋体" w:hAnsi="宋体" w:cs="宋体"/>
          <w:b/>
          <w:color w:val="auto"/>
          <w:w w:val="99"/>
          <w:kern w:val="0"/>
          <w:sz w:val="28"/>
          <w:szCs w:val="28"/>
          <w:highlight w:val="none"/>
        </w:rPr>
        <w:t>（盖单位章）</w:t>
      </w:r>
    </w:p>
    <w:p>
      <w:pPr>
        <w:autoSpaceDE w:val="0"/>
        <w:autoSpaceDN w:val="0"/>
        <w:adjustRightInd w:val="0"/>
        <w:spacing w:before="73"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lang w:eastAsia="zh-CN"/>
        </w:rPr>
        <w:t>比选代理机构</w:t>
      </w:r>
      <w:r>
        <w:rPr>
          <w:rFonts w:hint="eastAsia" w:ascii="宋体" w:hAnsi="宋体" w:cs="宋体"/>
          <w:b/>
          <w:color w:val="auto"/>
          <w:sz w:val="28"/>
          <w:szCs w:val="28"/>
          <w:highlight w:val="none"/>
        </w:rPr>
        <w:t>：</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重庆望高工程项目管理有限公司</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（盖单位章）</w:t>
      </w:r>
    </w:p>
    <w:p>
      <w:pPr>
        <w:autoSpaceDE w:val="0"/>
        <w:autoSpaceDN w:val="0"/>
        <w:adjustRightInd w:val="0"/>
        <w:snapToGrid w:val="0"/>
        <w:spacing w:line="360" w:lineRule="auto"/>
        <w:jc w:val="left"/>
        <w:rPr>
          <w:rFonts w:ascii="宋体" w:hAnsi="宋体" w:cs="宋体"/>
          <w:b/>
          <w:color w:val="auto"/>
          <w:kern w:val="0"/>
          <w:sz w:val="28"/>
          <w:highlight w:val="none"/>
        </w:rPr>
      </w:pPr>
    </w:p>
    <w:p>
      <w:pPr>
        <w:spacing w:before="100" w:beforeAutospacing="1" w:after="100" w:afterAutospacing="1" w:line="520" w:lineRule="atLeast"/>
        <w:jc w:val="center"/>
        <w:rPr>
          <w:rFonts w:ascii="宋体" w:hAnsi="宋体" w:cs="宋体"/>
          <w:b/>
          <w:color w:val="auto"/>
          <w:w w:val="99"/>
          <w:sz w:val="28"/>
          <w:szCs w:val="28"/>
          <w:highlight w:val="none"/>
        </w:rPr>
      </w:pPr>
      <w:r>
        <w:rPr>
          <w:rFonts w:hint="eastAsia" w:ascii="宋体" w:hAnsi="宋体" w:cs="宋体"/>
          <w:b/>
          <w:color w:val="auto"/>
          <w:w w:val="99"/>
          <w:sz w:val="28"/>
          <w:szCs w:val="28"/>
          <w:highlight w:val="none"/>
        </w:rPr>
        <w:t>202</w:t>
      </w:r>
      <w:r>
        <w:rPr>
          <w:rFonts w:hint="eastAsia" w:ascii="宋体" w:hAnsi="宋体" w:cs="宋体"/>
          <w:b/>
          <w:color w:val="auto"/>
          <w:w w:val="99"/>
          <w:sz w:val="28"/>
          <w:szCs w:val="28"/>
          <w:highlight w:val="none"/>
          <w:lang w:val="en-US" w:eastAsia="zh-CN"/>
        </w:rPr>
        <w:t>3</w:t>
      </w:r>
      <w:r>
        <w:rPr>
          <w:rFonts w:hint="eastAsia" w:ascii="宋体" w:hAnsi="宋体" w:cs="宋体"/>
          <w:b/>
          <w:color w:val="auto"/>
          <w:w w:val="99"/>
          <w:sz w:val="28"/>
          <w:szCs w:val="28"/>
          <w:highlight w:val="none"/>
        </w:rPr>
        <w:t>年</w:t>
      </w:r>
      <w:r>
        <w:rPr>
          <w:rFonts w:hint="eastAsia" w:ascii="宋体" w:hAnsi="宋体" w:cs="宋体"/>
          <w:b/>
          <w:color w:val="auto"/>
          <w:w w:val="99"/>
          <w:sz w:val="28"/>
          <w:szCs w:val="28"/>
          <w:highlight w:val="none"/>
          <w:lang w:val="en-US" w:eastAsia="zh-CN"/>
        </w:rPr>
        <w:t>1</w:t>
      </w:r>
      <w:r>
        <w:rPr>
          <w:rFonts w:hint="eastAsia" w:ascii="宋体" w:hAnsi="宋体" w:cs="宋体"/>
          <w:b/>
          <w:color w:val="auto"/>
          <w:w w:val="99"/>
          <w:sz w:val="28"/>
          <w:szCs w:val="28"/>
          <w:highlight w:val="none"/>
        </w:rPr>
        <w:t>月</w:t>
      </w:r>
      <w:bookmarkStart w:id="1" w:name="_Toc15706"/>
    </w:p>
    <w:p>
      <w:pPr>
        <w:spacing w:before="100" w:beforeAutospacing="1" w:after="100" w:afterAutospacing="1" w:line="520" w:lineRule="atLeast"/>
        <w:jc w:val="center"/>
        <w:rPr>
          <w:rFonts w:ascii="宋体" w:hAnsi="宋体" w:cs="宋体"/>
          <w:b/>
          <w:color w:val="auto"/>
          <w:sz w:val="28"/>
          <w:szCs w:val="28"/>
          <w:highlight w:val="none"/>
        </w:rPr>
      </w:pPr>
      <w:r>
        <w:rPr>
          <w:rFonts w:ascii="宋体" w:hAnsi="宋体" w:cs="宋体"/>
          <w:b/>
          <w:color w:val="auto"/>
          <w:w w:val="99"/>
          <w:sz w:val="28"/>
          <w:szCs w:val="28"/>
          <w:highlight w:val="none"/>
        </w:rPr>
        <w:br w:type="page"/>
      </w:r>
    </w:p>
    <w:p>
      <w:pPr>
        <w:pStyle w:val="284"/>
        <w:jc w:val="center"/>
        <w:rPr>
          <w:rFonts w:hint="eastAsia" w:ascii="宋体" w:hAnsi="宋体" w:eastAsia="宋体" w:cs="Times New Roman"/>
          <w:b/>
          <w:bCs/>
          <w:snapToGrid w:val="0"/>
          <w:color w:val="auto"/>
          <w:kern w:val="0"/>
          <w:sz w:val="44"/>
          <w:szCs w:val="44"/>
          <w:highlight w:val="none"/>
          <w:lang w:val="en-US" w:eastAsia="zh-CN" w:bidi="ar-SA"/>
        </w:rPr>
      </w:pPr>
      <w:r>
        <w:rPr>
          <w:rFonts w:hint="eastAsia" w:ascii="宋体" w:hAnsi="宋体" w:eastAsia="宋体" w:cs="Times New Roman"/>
          <w:b/>
          <w:bCs/>
          <w:snapToGrid w:val="0"/>
          <w:color w:val="auto"/>
          <w:kern w:val="0"/>
          <w:sz w:val="44"/>
          <w:szCs w:val="44"/>
          <w:highlight w:val="none"/>
          <w:lang w:val="zh-CN" w:eastAsia="zh-CN" w:bidi="ar-SA"/>
        </w:rPr>
        <w:t>目</w:t>
      </w:r>
      <w:r>
        <w:rPr>
          <w:rFonts w:hint="eastAsia" w:ascii="宋体" w:hAnsi="宋体" w:eastAsia="宋体" w:cs="Times New Roman"/>
          <w:b/>
          <w:bCs/>
          <w:snapToGrid w:val="0"/>
          <w:color w:val="auto"/>
          <w:kern w:val="0"/>
          <w:sz w:val="44"/>
          <w:szCs w:val="44"/>
          <w:highlight w:val="none"/>
          <w:lang w:val="en-US" w:eastAsia="zh-CN" w:bidi="ar-SA"/>
        </w:rPr>
        <w:t xml:space="preserve"> </w:t>
      </w:r>
      <w:r>
        <w:rPr>
          <w:rFonts w:hint="eastAsia" w:ascii="宋体" w:hAnsi="宋体" w:eastAsia="宋体" w:cs="Times New Roman"/>
          <w:b/>
          <w:bCs/>
          <w:snapToGrid w:val="0"/>
          <w:color w:val="auto"/>
          <w:kern w:val="0"/>
          <w:sz w:val="44"/>
          <w:szCs w:val="44"/>
          <w:highlight w:val="none"/>
          <w:lang w:val="zh-CN" w:eastAsia="zh-CN" w:bidi="ar-SA"/>
        </w:rPr>
        <w:t>录</w:t>
      </w:r>
      <w:bookmarkEnd w:id="1"/>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TOC \o "1-3" \h \z \u </w:instrText>
      </w:r>
      <w:r>
        <w:rPr>
          <w:rFonts w:ascii="宋体" w:hAnsi="宋体"/>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"_Toc41899991" </w:instrText>
      </w:r>
      <w:r>
        <w:rPr>
          <w:color w:val="auto"/>
          <w:sz w:val="24"/>
          <w:szCs w:val="24"/>
          <w:highlight w:val="none"/>
        </w:rPr>
        <w:fldChar w:fldCharType="separate"/>
      </w:r>
      <w:r>
        <w:rPr>
          <w:rStyle w:val="53"/>
          <w:rFonts w:hint="eastAsia" w:ascii="宋体" w:hAnsi="宋体"/>
          <w:snapToGrid w:val="0"/>
          <w:color w:val="auto"/>
          <w:kern w:val="0"/>
          <w:sz w:val="24"/>
          <w:szCs w:val="24"/>
          <w:highlight w:val="none"/>
        </w:rPr>
        <w:t>第一章</w:t>
      </w:r>
      <w:r>
        <w:rPr>
          <w:rStyle w:val="53"/>
          <w:rFonts w:ascii="宋体" w:hAnsi="宋体"/>
          <w:snapToGrid w:val="0"/>
          <w:color w:val="auto"/>
          <w:kern w:val="0"/>
          <w:sz w:val="24"/>
          <w:szCs w:val="24"/>
          <w:highlight w:val="none"/>
        </w:rPr>
        <w:t xml:space="preserve">  </w:t>
      </w:r>
      <w:r>
        <w:rPr>
          <w:rStyle w:val="53"/>
          <w:rFonts w:hint="eastAsia" w:ascii="宋体" w:hAnsi="宋体"/>
          <w:snapToGrid w:val="0"/>
          <w:color w:val="auto"/>
          <w:kern w:val="0"/>
          <w:sz w:val="24"/>
          <w:szCs w:val="24"/>
          <w:highlight w:val="none"/>
          <w:lang w:eastAsia="zh-CN"/>
        </w:rPr>
        <w:t>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_Toc41899991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"_Toc41899999" </w:instrText>
      </w:r>
      <w:r>
        <w:rPr>
          <w:color w:val="auto"/>
          <w:sz w:val="24"/>
          <w:szCs w:val="24"/>
          <w:highlight w:val="none"/>
        </w:rPr>
        <w:fldChar w:fldCharType="separate"/>
      </w:r>
      <w:r>
        <w:rPr>
          <w:rStyle w:val="53"/>
          <w:rFonts w:hint="eastAsia" w:ascii="宋体" w:hAnsi="宋体"/>
          <w:snapToGrid w:val="0"/>
          <w:color w:val="auto"/>
          <w:kern w:val="0"/>
          <w:sz w:val="24"/>
          <w:szCs w:val="24"/>
          <w:highlight w:val="none"/>
        </w:rPr>
        <w:t>第二章</w:t>
      </w:r>
      <w:r>
        <w:rPr>
          <w:rStyle w:val="53"/>
          <w:rFonts w:ascii="宋体" w:hAnsi="宋体"/>
          <w:snapToGrid w:val="0"/>
          <w:color w:val="auto"/>
          <w:kern w:val="0"/>
          <w:sz w:val="24"/>
          <w:szCs w:val="24"/>
          <w:highlight w:val="none"/>
        </w:rPr>
        <w:t xml:space="preserve">  </w:t>
      </w:r>
      <w:r>
        <w:rPr>
          <w:rStyle w:val="53"/>
          <w:rFonts w:hint="eastAsia" w:ascii="宋体" w:hAnsi="宋体"/>
          <w:snapToGrid w:val="0"/>
          <w:color w:val="auto"/>
          <w:kern w:val="0"/>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_Toc41899999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"_Toc41900052" </w:instrText>
      </w:r>
      <w:r>
        <w:rPr>
          <w:color w:val="auto"/>
          <w:sz w:val="24"/>
          <w:szCs w:val="24"/>
          <w:highlight w:val="none"/>
        </w:rPr>
        <w:fldChar w:fldCharType="separate"/>
      </w:r>
      <w:r>
        <w:rPr>
          <w:rStyle w:val="53"/>
          <w:rFonts w:hint="eastAsia" w:ascii="宋体" w:hAnsi="宋体"/>
          <w:snapToGrid w:val="0"/>
          <w:color w:val="auto"/>
          <w:kern w:val="0"/>
          <w:sz w:val="24"/>
          <w:szCs w:val="24"/>
          <w:highlight w:val="none"/>
        </w:rPr>
        <w:t>第三章</w:t>
      </w:r>
      <w:r>
        <w:rPr>
          <w:rStyle w:val="53"/>
          <w:rFonts w:ascii="宋体" w:hAnsi="宋体"/>
          <w:snapToGrid w:val="0"/>
          <w:color w:val="auto"/>
          <w:kern w:val="0"/>
          <w:sz w:val="24"/>
          <w:szCs w:val="24"/>
          <w:highlight w:val="none"/>
        </w:rPr>
        <w:t xml:space="preserve">  </w:t>
      </w:r>
      <w:r>
        <w:rPr>
          <w:rStyle w:val="53"/>
          <w:rFonts w:hint="eastAsia" w:ascii="宋体" w:hAnsi="宋体"/>
          <w:snapToGrid w:val="0"/>
          <w:color w:val="auto"/>
          <w:kern w:val="0"/>
          <w:sz w:val="24"/>
          <w:szCs w:val="24"/>
          <w:highlight w:val="none"/>
        </w:rPr>
        <w:t>评标办法（经评审的最低投标价法）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_Toc41900052 \h </w:instrText>
      </w:r>
      <w:r>
        <w:rPr>
          <w:color w:val="auto"/>
          <w:sz w:val="24"/>
          <w:szCs w:val="24"/>
          <w:highlight w:val="none"/>
        </w:rPr>
        <w:fldChar w:fldCharType="separate"/>
      </w:r>
      <w:r>
        <w:rPr>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"_Toc41900064" </w:instrText>
      </w:r>
      <w:r>
        <w:rPr>
          <w:color w:val="auto"/>
          <w:sz w:val="24"/>
          <w:szCs w:val="24"/>
          <w:highlight w:val="none"/>
        </w:rPr>
        <w:fldChar w:fldCharType="separate"/>
      </w:r>
      <w:r>
        <w:rPr>
          <w:rStyle w:val="53"/>
          <w:rFonts w:hint="eastAsia" w:ascii="宋体" w:hAnsi="宋体"/>
          <w:color w:val="auto"/>
          <w:kern w:val="0"/>
          <w:sz w:val="24"/>
          <w:szCs w:val="24"/>
          <w:highlight w:val="none"/>
        </w:rPr>
        <w:t>第四章</w:t>
      </w:r>
      <w:r>
        <w:rPr>
          <w:rStyle w:val="53"/>
          <w:rFonts w:ascii="宋体" w:hAnsi="宋体"/>
          <w:color w:val="auto"/>
          <w:kern w:val="0"/>
          <w:sz w:val="24"/>
          <w:szCs w:val="24"/>
          <w:highlight w:val="none"/>
        </w:rPr>
        <w:t xml:space="preserve">  </w:t>
      </w:r>
      <w:r>
        <w:rPr>
          <w:rStyle w:val="53"/>
          <w:rFonts w:hint="eastAsia" w:ascii="宋体" w:hAnsi="宋体"/>
          <w:color w:val="auto"/>
          <w:kern w:val="0"/>
          <w:sz w:val="24"/>
          <w:szCs w:val="24"/>
          <w:highlight w:val="none"/>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_Toc41900064 \h </w:instrText>
      </w:r>
      <w:r>
        <w:rPr>
          <w:color w:val="auto"/>
          <w:sz w:val="24"/>
          <w:szCs w:val="24"/>
          <w:highlight w:val="none"/>
        </w:rPr>
        <w:fldChar w:fldCharType="separate"/>
      </w:r>
      <w:r>
        <w:rPr>
          <w:color w:val="auto"/>
          <w:sz w:val="24"/>
          <w:szCs w:val="24"/>
          <w:highlight w:val="none"/>
        </w:rPr>
        <w:t>3</w:t>
      </w:r>
      <w:r>
        <w:rPr>
          <w:rFonts w:hint="eastAsia"/>
          <w:color w:val="auto"/>
          <w:sz w:val="24"/>
          <w:szCs w:val="24"/>
          <w:highlight w:val="none"/>
          <w:lang w:val="en-US" w:eastAsia="zh-CN"/>
        </w:rPr>
        <w:t>2</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"_Toc41900067" </w:instrText>
      </w:r>
      <w:r>
        <w:rPr>
          <w:color w:val="auto"/>
          <w:sz w:val="24"/>
          <w:szCs w:val="24"/>
          <w:highlight w:val="none"/>
        </w:rPr>
        <w:fldChar w:fldCharType="separate"/>
      </w:r>
      <w:r>
        <w:rPr>
          <w:rStyle w:val="53"/>
          <w:rFonts w:hint="eastAsia" w:ascii="宋体" w:hAnsi="宋体"/>
          <w:color w:val="auto"/>
          <w:sz w:val="24"/>
          <w:szCs w:val="24"/>
          <w:highlight w:val="none"/>
        </w:rPr>
        <w:t>第五章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工程量清单</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1</w:t>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"_Toc41900069" </w:instrText>
      </w:r>
      <w:r>
        <w:rPr>
          <w:color w:val="auto"/>
          <w:sz w:val="24"/>
          <w:szCs w:val="24"/>
          <w:highlight w:val="none"/>
        </w:rPr>
        <w:fldChar w:fldCharType="separate"/>
      </w:r>
      <w:r>
        <w:rPr>
          <w:rStyle w:val="53"/>
          <w:rFonts w:hint="eastAsia" w:ascii="宋体" w:hAnsi="宋体"/>
          <w:color w:val="auto"/>
          <w:sz w:val="24"/>
          <w:szCs w:val="24"/>
          <w:highlight w:val="none"/>
        </w:rPr>
        <w:t>第六章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图纸</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2</w:t>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"_Toc41900071" </w:instrText>
      </w:r>
      <w:r>
        <w:rPr>
          <w:color w:val="auto"/>
          <w:sz w:val="24"/>
          <w:szCs w:val="24"/>
          <w:highlight w:val="none"/>
        </w:rPr>
        <w:fldChar w:fldCharType="separate"/>
      </w:r>
      <w:r>
        <w:rPr>
          <w:rStyle w:val="53"/>
          <w:rFonts w:hint="eastAsia" w:ascii="宋体" w:hAnsi="宋体"/>
          <w:color w:val="auto"/>
          <w:sz w:val="24"/>
          <w:szCs w:val="24"/>
          <w:highlight w:val="none"/>
        </w:rPr>
        <w:t>第七章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技术标准和要求</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3</w:t>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"_Toc41900073" </w:instrText>
      </w:r>
      <w:r>
        <w:rPr>
          <w:color w:val="auto"/>
          <w:sz w:val="24"/>
          <w:szCs w:val="24"/>
          <w:highlight w:val="none"/>
        </w:rPr>
        <w:fldChar w:fldCharType="separate"/>
      </w:r>
      <w:r>
        <w:rPr>
          <w:rStyle w:val="53"/>
          <w:rFonts w:hint="eastAsia" w:ascii="宋体" w:hAnsi="宋体"/>
          <w:color w:val="auto"/>
          <w:sz w:val="24"/>
          <w:szCs w:val="24"/>
          <w:highlight w:val="none"/>
        </w:rPr>
        <w:t>第八章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投标文件格式</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highlight w:val="none"/>
        </w:rPr>
      </w:pPr>
      <w:r>
        <w:rPr>
          <w:rFonts w:ascii="宋体" w:hAnsi="宋体"/>
          <w:bCs/>
          <w:color w:val="auto"/>
          <w:sz w:val="24"/>
          <w:szCs w:val="24"/>
          <w:highlight w:val="none"/>
          <w:lang w:val="zh-CN"/>
        </w:rPr>
        <w:fldChar w:fldCharType="end"/>
      </w:r>
    </w:p>
    <w:bookmarkEnd w:id="0"/>
    <w:p>
      <w:pPr>
        <w:spacing w:line="20" w:lineRule="exact"/>
        <w:jc w:val="left"/>
        <w:rPr>
          <w:rFonts w:ascii="宋体" w:hAnsi="宋体"/>
          <w:color w:val="auto"/>
          <w:highlight w:val="none"/>
        </w:rPr>
        <w:sectPr>
          <w:headerReference r:id="rId3" w:type="default"/>
          <w:footerReference r:id="rId4" w:type="default"/>
          <w:pgSz w:w="11907" w:h="16840"/>
          <w:pgMar w:top="1020" w:right="1134" w:bottom="1020" w:left="1304" w:header="851" w:footer="992" w:gutter="0"/>
          <w:pgNumType w:fmt="numberInDash" w:start="1"/>
          <w:cols w:space="720" w:num="1"/>
          <w:docGrid w:linePitch="312" w:charSpace="0"/>
        </w:sectPr>
      </w:pPr>
      <w:bookmarkStart w:id="2" w:name="_Toc430530414"/>
    </w:p>
    <w:bookmarkEnd w:id="2"/>
    <w:p>
      <w:pPr>
        <w:pStyle w:val="3"/>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snapToGrid w:val="0"/>
          <w:color w:val="auto"/>
          <w:kern w:val="0"/>
          <w:highlight w:val="none"/>
          <w:lang w:eastAsia="zh-CN"/>
        </w:rPr>
      </w:pPr>
      <w:bookmarkStart w:id="3" w:name="_Toc41899991"/>
      <w:bookmarkStart w:id="4" w:name="_Toc287607727"/>
      <w:bookmarkStart w:id="5" w:name="_Toc224103298"/>
      <w:bookmarkStart w:id="6" w:name="_Toc287620666"/>
      <w:bookmarkStart w:id="7" w:name="_Toc430530415"/>
      <w:bookmarkStart w:id="8" w:name="_Toc277082535"/>
      <w:bookmarkStart w:id="9" w:name="_Toc509218691"/>
      <w:r>
        <w:rPr>
          <w:rFonts w:ascii="宋体" w:hAnsi="宋体"/>
          <w:snapToGrid w:val="0"/>
          <w:color w:val="auto"/>
          <w:kern w:val="0"/>
          <w:highlight w:val="none"/>
        </w:rPr>
        <w:t xml:space="preserve">第一章  </w:t>
      </w:r>
      <w:bookmarkEnd w:id="3"/>
      <w:bookmarkEnd w:id="4"/>
      <w:bookmarkEnd w:id="5"/>
      <w:bookmarkEnd w:id="6"/>
      <w:bookmarkEnd w:id="7"/>
      <w:bookmarkEnd w:id="8"/>
      <w:bookmarkEnd w:id="9"/>
      <w:r>
        <w:rPr>
          <w:rFonts w:hint="eastAsia" w:ascii="宋体" w:hAnsi="宋体"/>
          <w:snapToGrid w:val="0"/>
          <w:color w:val="auto"/>
          <w:kern w:val="0"/>
          <w:highlight w:val="none"/>
          <w:lang w:eastAsia="zh-CN"/>
        </w:rPr>
        <w:t>比选公告</w:t>
      </w:r>
    </w:p>
    <w:p>
      <w:pPr>
        <w:pStyle w:val="18"/>
        <w:keepNext w:val="0"/>
        <w:keepLines w:val="0"/>
        <w:pageBreakBefore w:val="0"/>
        <w:widowControl w:val="0"/>
        <w:kinsoku/>
        <w:wordWrap/>
        <w:overflowPunct/>
        <w:topLinePunct w:val="0"/>
        <w:autoSpaceDE/>
        <w:autoSpaceDN/>
        <w:bidi w:val="0"/>
        <w:adjustRightInd/>
        <w:snapToGrid/>
        <w:spacing w:line="350" w:lineRule="exact"/>
        <w:ind w:firstLine="0" w:firstLineChars="0"/>
        <w:jc w:val="center"/>
        <w:textAlignment w:val="auto"/>
        <w:rPr>
          <w:rFonts w:hint="eastAsia" w:ascii="宋体" w:hAnsi="宋体" w:eastAsia="宋体" w:cs="宋体"/>
          <w:b/>
          <w:snapToGrid w:val="0"/>
          <w:color w:val="auto"/>
          <w:kern w:val="0"/>
          <w:sz w:val="32"/>
          <w:szCs w:val="32"/>
          <w:highlight w:val="none"/>
          <w:lang w:eastAsia="zh-CN"/>
        </w:rPr>
      </w:pPr>
      <w:bookmarkStart w:id="10" w:name="_Toc287607728"/>
      <w:bookmarkStart w:id="11" w:name="_Toc200359427"/>
      <w:bookmarkStart w:id="12" w:name="_Toc200359238"/>
      <w:bookmarkStart w:id="13" w:name="_Toc287620667"/>
      <w:bookmarkStart w:id="14" w:name="_Toc430530416"/>
      <w:bookmarkStart w:id="15" w:name="_Toc277082536"/>
      <w:bookmarkStart w:id="16" w:name="_Toc224103299"/>
      <w:bookmarkStart w:id="17" w:name="_Toc509218692"/>
      <w:r>
        <w:rPr>
          <w:rFonts w:hint="eastAsia" w:ascii="宋体" w:hAnsi="宋体" w:cs="宋体"/>
          <w:b/>
          <w:snapToGrid w:val="0"/>
          <w:color w:val="auto"/>
          <w:kern w:val="0"/>
          <w:sz w:val="32"/>
          <w:szCs w:val="32"/>
          <w:highlight w:val="none"/>
          <w:lang w:eastAsia="zh-CN"/>
        </w:rPr>
        <w:t>安居古城2023年迎春灯饰工程</w:t>
      </w:r>
    </w:p>
    <w:p>
      <w:pPr>
        <w:pStyle w:val="4"/>
        <w:pageBreakBefore w:val="0"/>
        <w:widowControl w:val="0"/>
        <w:kinsoku/>
        <w:overflowPunct/>
        <w:topLinePunct w:val="0"/>
        <w:bidi w:val="0"/>
        <w:spacing w:before="0" w:after="0" w:line="350" w:lineRule="exact"/>
        <w:textAlignment w:val="auto"/>
        <w:rPr>
          <w:rFonts w:hint="eastAsia" w:ascii="宋体" w:hAnsi="宋体" w:eastAsia="宋体"/>
          <w:snapToGrid w:val="0"/>
          <w:color w:val="auto"/>
          <w:sz w:val="28"/>
          <w:szCs w:val="28"/>
          <w:highlight w:val="none"/>
          <w:lang w:eastAsia="zh-CN"/>
        </w:rPr>
      </w:pPr>
      <w:bookmarkStart w:id="18" w:name="_Toc41899992"/>
      <w:r>
        <w:rPr>
          <w:rFonts w:ascii="宋体" w:hAnsi="宋体"/>
          <w:snapToGrid w:val="0"/>
          <w:color w:val="auto"/>
          <w:sz w:val="28"/>
          <w:szCs w:val="28"/>
          <w:highlight w:val="none"/>
        </w:rPr>
        <w:t>1.</w:t>
      </w:r>
      <w:bookmarkEnd w:id="10"/>
      <w:bookmarkEnd w:id="11"/>
      <w:bookmarkEnd w:id="12"/>
      <w:bookmarkEnd w:id="13"/>
      <w:bookmarkEnd w:id="14"/>
      <w:bookmarkEnd w:id="15"/>
      <w:bookmarkEnd w:id="16"/>
      <w:bookmarkEnd w:id="17"/>
      <w:bookmarkEnd w:id="18"/>
      <w:r>
        <w:rPr>
          <w:rFonts w:hint="eastAsia" w:ascii="宋体" w:hAnsi="宋体"/>
          <w:snapToGrid w:val="0"/>
          <w:color w:val="auto"/>
          <w:sz w:val="28"/>
          <w:szCs w:val="28"/>
          <w:highlight w:val="none"/>
          <w:lang w:eastAsia="zh-CN"/>
        </w:rPr>
        <w:t>比选条件</w:t>
      </w:r>
    </w:p>
    <w:p>
      <w:pPr>
        <w:pageBreakBefore w:val="0"/>
        <w:widowControl w:val="0"/>
        <w:tabs>
          <w:tab w:val="left" w:pos="3315"/>
          <w:tab w:val="left" w:pos="3390"/>
          <w:tab w:val="left" w:pos="6120"/>
          <w:tab w:val="left" w:pos="8850"/>
        </w:tabs>
        <w:kinsoku/>
        <w:overflowPunct/>
        <w:topLinePunct w:val="0"/>
        <w:autoSpaceDE w:val="0"/>
        <w:autoSpaceDN w:val="0"/>
        <w:bidi w:val="0"/>
        <w:adjustRightInd w:val="0"/>
        <w:snapToGrid w:val="0"/>
        <w:spacing w:line="350" w:lineRule="exact"/>
        <w:ind w:firstLine="42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hint="eastAsia" w:ascii="宋体" w:hAnsi="宋体" w:cs="宋体"/>
          <w:color w:val="auto"/>
          <w:kern w:val="0"/>
          <w:szCs w:val="21"/>
          <w:highlight w:val="none"/>
          <w:u w:val="single"/>
          <w:lang w:eastAsia="zh-CN"/>
        </w:rPr>
        <w:t>安居古城2023年迎春灯饰工程</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重庆安居古城华夏文化旅游发展有限公司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100% </w:t>
      </w:r>
      <w:r>
        <w:rPr>
          <w:rFonts w:ascii="宋体" w:hAnsi="宋体"/>
          <w:snapToGrid w:val="0"/>
          <w:color w:val="auto"/>
          <w:kern w:val="0"/>
          <w:szCs w:val="21"/>
          <w:highlight w:val="none"/>
        </w:rPr>
        <w:t>，</w:t>
      </w:r>
      <w:r>
        <w:rPr>
          <w:rFonts w:hint="eastAsia" w:ascii="宋体" w:hAnsi="宋体" w:eastAsia="宋体" w:cs="宋体"/>
          <w:snapToGrid w:val="0"/>
          <w:color w:val="auto"/>
          <w:kern w:val="0"/>
          <w:highlight w:val="none"/>
        </w:rPr>
        <w:t>项目已具备比选条件，现对该项目进行竞争性比选</w:t>
      </w:r>
      <w:r>
        <w:rPr>
          <w:rFonts w:ascii="宋体" w:hAnsi="宋体"/>
          <w:snapToGrid w:val="0"/>
          <w:color w:val="auto"/>
          <w:kern w:val="0"/>
          <w:position w:val="-2"/>
          <w:szCs w:val="21"/>
          <w:highlight w:val="none"/>
        </w:rPr>
        <w:t>。</w:t>
      </w:r>
    </w:p>
    <w:p>
      <w:pPr>
        <w:pStyle w:val="4"/>
        <w:pageBreakBefore w:val="0"/>
        <w:widowControl w:val="0"/>
        <w:kinsoku/>
        <w:overflowPunct/>
        <w:topLinePunct w:val="0"/>
        <w:bidi w:val="0"/>
        <w:spacing w:before="0" w:after="0" w:line="350" w:lineRule="exact"/>
        <w:textAlignment w:val="auto"/>
        <w:rPr>
          <w:rFonts w:hint="eastAsia" w:ascii="宋体" w:hAnsi="宋体" w:eastAsia="宋体"/>
          <w:snapToGrid w:val="0"/>
          <w:color w:val="auto"/>
          <w:sz w:val="28"/>
          <w:szCs w:val="28"/>
          <w:highlight w:val="none"/>
          <w:lang w:eastAsia="zh-CN"/>
        </w:rPr>
      </w:pPr>
      <w:bookmarkStart w:id="19" w:name="_Toc277082537"/>
      <w:bookmarkStart w:id="20" w:name="_Toc200359428"/>
      <w:bookmarkStart w:id="21" w:name="_Toc41899993"/>
      <w:bookmarkStart w:id="22" w:name="_Toc287607729"/>
      <w:bookmarkStart w:id="23" w:name="_Toc430530417"/>
      <w:bookmarkStart w:id="24" w:name="_Toc509218693"/>
      <w:bookmarkStart w:id="25" w:name="_Toc224103300"/>
      <w:bookmarkStart w:id="26" w:name="_Toc200359239"/>
      <w:bookmarkStart w:id="27" w:name="_Toc287620668"/>
      <w:r>
        <w:rPr>
          <w:rFonts w:ascii="宋体" w:hAnsi="宋体"/>
          <w:snapToGrid w:val="0"/>
          <w:color w:val="auto"/>
          <w:sz w:val="28"/>
          <w:szCs w:val="28"/>
          <w:highlight w:val="none"/>
        </w:rPr>
        <w:t>2.项目概况与</w:t>
      </w:r>
      <w:bookmarkEnd w:id="19"/>
      <w:bookmarkEnd w:id="20"/>
      <w:bookmarkEnd w:id="21"/>
      <w:bookmarkEnd w:id="22"/>
      <w:bookmarkEnd w:id="23"/>
      <w:bookmarkEnd w:id="24"/>
      <w:bookmarkEnd w:id="25"/>
      <w:bookmarkEnd w:id="26"/>
      <w:bookmarkEnd w:id="27"/>
      <w:r>
        <w:rPr>
          <w:rFonts w:hint="eastAsia" w:ascii="宋体" w:hAnsi="宋体"/>
          <w:snapToGrid w:val="0"/>
          <w:color w:val="auto"/>
          <w:sz w:val="28"/>
          <w:szCs w:val="28"/>
          <w:highlight w:val="none"/>
          <w:lang w:eastAsia="zh-CN"/>
        </w:rPr>
        <w:t>比选范围</w:t>
      </w:r>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cs="宋体"/>
          <w:kern w:val="0"/>
          <w:sz w:val="21"/>
          <w:szCs w:val="21"/>
          <w:lang w:val="en-US" w:eastAsia="zh-CN" w:bidi="ar-SA"/>
        </w:rPr>
        <w:t>铜梁区安居镇</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rFonts w:ascii="宋体" w:hAnsi="宋体"/>
          <w:snapToGrid w:val="0"/>
          <w:color w:val="auto"/>
          <w:kern w:val="0"/>
          <w:szCs w:val="21"/>
          <w:highlight w:val="yellow"/>
        </w:rPr>
      </w:pPr>
      <w:r>
        <w:rPr>
          <w:rFonts w:hint="eastAsia" w:ascii="宋体" w:hAnsi="宋体"/>
          <w:snapToGrid w:val="0"/>
          <w:color w:val="auto"/>
          <w:kern w:val="0"/>
          <w:szCs w:val="21"/>
          <w:highlight w:val="none"/>
        </w:rPr>
        <w:t>2.2</w:t>
      </w:r>
      <w:r>
        <w:rPr>
          <w:rFonts w:hint="eastAsia" w:ascii="宋体" w:hAnsi="宋体" w:cs="宋体"/>
          <w:kern w:val="0"/>
          <w:sz w:val="21"/>
          <w:szCs w:val="21"/>
          <w:lang w:val="en-US" w:eastAsia="zh-CN" w:bidi="ar-SA"/>
        </w:rPr>
        <w:t xml:space="preserve"> 建设规模：建设内容包括铜梁区安居古城2023年迎春灯饰，电气安装等</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lang w:eastAsia="zh-CN"/>
        </w:rPr>
        <w:t>：</w:t>
      </w:r>
      <w:r>
        <w:rPr>
          <w:rFonts w:hint="eastAsia" w:ascii="宋体" w:hAnsi="宋体" w:eastAsia="宋体" w:cs="宋体"/>
          <w:kern w:val="0"/>
          <w:sz w:val="21"/>
          <w:szCs w:val="21"/>
          <w:lang w:val="en-US" w:eastAsia="zh-CN" w:bidi="ar-SA"/>
        </w:rPr>
        <w:t>约</w:t>
      </w:r>
      <w:r>
        <w:rPr>
          <w:rFonts w:hint="eastAsia" w:ascii="宋体" w:hAnsi="宋体" w:cs="宋体"/>
          <w:kern w:val="0"/>
          <w:sz w:val="21"/>
          <w:szCs w:val="21"/>
          <w:highlight w:val="none"/>
          <w:u w:val="single"/>
          <w:lang w:val="en-US" w:eastAsia="zh-CN" w:bidi="ar-SA"/>
        </w:rPr>
        <w:t xml:space="preserve"> 25 </w:t>
      </w:r>
      <w:r>
        <w:rPr>
          <w:rFonts w:hint="eastAsia" w:ascii="宋体" w:hAnsi="宋体" w:eastAsia="宋体" w:cs="宋体"/>
          <w:kern w:val="0"/>
          <w:sz w:val="21"/>
          <w:szCs w:val="21"/>
          <w:highlight w:val="none"/>
          <w:lang w:val="en-US" w:eastAsia="zh-CN" w:bidi="ar-SA"/>
        </w:rPr>
        <w:t>万元</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color w:val="auto"/>
          <w:highlight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color w:val="auto"/>
          <w:highlight w:val="none"/>
          <w:lang w:eastAsia="zh-CN"/>
        </w:rPr>
        <w:t>具体以比选人发出的工程量清单为准</w:t>
      </w:r>
      <w:r>
        <w:rPr>
          <w:color w:val="auto"/>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2.5 工期要求：工期</w:t>
      </w:r>
      <w:r>
        <w:rPr>
          <w:rFonts w:hint="eastAsia" w:ascii="宋体" w:hAnsi="宋体"/>
          <w:snapToGrid w:val="0"/>
          <w:color w:val="auto"/>
          <w:kern w:val="0"/>
          <w:szCs w:val="21"/>
          <w:highlight w:val="none"/>
          <w:u w:val="single"/>
          <w:lang w:val="en-US" w:eastAsia="zh-CN"/>
        </w:rPr>
        <w:t xml:space="preserve"> 10日历天</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缺陷责任期</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lang w:eastAsia="zh-CN"/>
        </w:rPr>
        <w:t>个月</w:t>
      </w:r>
      <w:r>
        <w:rPr>
          <w:rFonts w:hint="eastAsia" w:ascii="宋体" w:hAnsi="宋体"/>
          <w:snapToGrid w:val="0"/>
          <w:color w:val="auto"/>
          <w:kern w:val="0"/>
          <w:szCs w:val="21"/>
          <w:highlight w:val="none"/>
        </w:rPr>
        <w:t>。</w:t>
      </w:r>
    </w:p>
    <w:p>
      <w:pPr>
        <w:pStyle w:val="4"/>
        <w:pageBreakBefore w:val="0"/>
        <w:widowControl w:val="0"/>
        <w:kinsoku/>
        <w:overflowPunct/>
        <w:topLinePunct w:val="0"/>
        <w:bidi w:val="0"/>
        <w:spacing w:before="0" w:after="0" w:line="350" w:lineRule="exact"/>
        <w:textAlignment w:val="auto"/>
        <w:rPr>
          <w:rFonts w:ascii="宋体" w:hAnsi="宋体"/>
          <w:snapToGrid w:val="0"/>
          <w:color w:val="auto"/>
          <w:sz w:val="28"/>
          <w:szCs w:val="28"/>
          <w:highlight w:val="none"/>
        </w:rPr>
      </w:pPr>
      <w:bookmarkStart w:id="28" w:name="_Toc287620669"/>
      <w:bookmarkStart w:id="29" w:name="_Toc509218694"/>
      <w:bookmarkStart w:id="30" w:name="_Toc41899994"/>
      <w:bookmarkStart w:id="31" w:name="_Toc224103301"/>
      <w:bookmarkStart w:id="32" w:name="_Toc430530418"/>
      <w:bookmarkStart w:id="33" w:name="_Toc287607730"/>
      <w:bookmarkStart w:id="34" w:name="_Toc200359429"/>
      <w:bookmarkStart w:id="35" w:name="_Toc200359240"/>
      <w:bookmarkStart w:id="36" w:name="_Toc277082538"/>
      <w:r>
        <w:rPr>
          <w:rFonts w:ascii="宋体" w:hAnsi="宋体"/>
          <w:snapToGrid w:val="0"/>
          <w:color w:val="auto"/>
          <w:sz w:val="28"/>
          <w:szCs w:val="28"/>
          <w:highlight w:val="none"/>
        </w:rPr>
        <w:t>3.投标人资格要求</w:t>
      </w:r>
      <w:bookmarkEnd w:id="28"/>
      <w:bookmarkEnd w:id="29"/>
      <w:bookmarkEnd w:id="30"/>
      <w:bookmarkEnd w:id="31"/>
      <w:bookmarkEnd w:id="32"/>
      <w:bookmarkEnd w:id="33"/>
      <w:bookmarkEnd w:id="34"/>
      <w:bookmarkEnd w:id="35"/>
      <w:bookmarkEnd w:id="36"/>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3.1  </w:t>
      </w:r>
      <w:r>
        <w:rPr>
          <w:rFonts w:hint="eastAsia" w:ascii="宋体" w:hAnsi="宋体"/>
          <w:snapToGrid w:val="0"/>
          <w:color w:val="auto"/>
          <w:kern w:val="0"/>
          <w:szCs w:val="21"/>
          <w:highlight w:val="none"/>
          <w:lang w:eastAsia="zh-CN"/>
        </w:rPr>
        <w:t>本次比选</w:t>
      </w:r>
      <w:r>
        <w:rPr>
          <w:rFonts w:ascii="宋体" w:hAnsi="宋体"/>
          <w:snapToGrid w:val="0"/>
          <w:color w:val="auto"/>
          <w:kern w:val="0"/>
          <w:szCs w:val="21"/>
          <w:highlight w:val="none"/>
        </w:rPr>
        <w:t>要求投标人须具备</w:t>
      </w:r>
      <w:r>
        <w:rPr>
          <w:rFonts w:hint="eastAsia" w:ascii="宋体" w:hAnsi="宋体"/>
          <w:snapToGrid w:val="0"/>
          <w:color w:val="auto"/>
          <w:kern w:val="0"/>
          <w:szCs w:val="21"/>
          <w:highlight w:val="none"/>
        </w:rPr>
        <w:t>以下条件：</w:t>
      </w:r>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本次比选</w:t>
      </w:r>
      <w:r>
        <w:rPr>
          <w:rFonts w:hint="eastAsia" w:ascii="宋体" w:hAnsi="宋体"/>
          <w:snapToGrid w:val="0"/>
          <w:color w:val="auto"/>
          <w:kern w:val="0"/>
          <w:szCs w:val="21"/>
          <w:highlight w:val="none"/>
        </w:rPr>
        <w:t>要求投标人具备的资质条件：投标人须具备建设行政主管部门颁发的</w:t>
      </w:r>
      <w:r>
        <w:rPr>
          <w:rFonts w:hint="eastAsia" w:ascii="宋体" w:hAnsi="宋体"/>
          <w:b/>
          <w:bCs/>
          <w:snapToGrid w:val="0"/>
          <w:color w:val="auto"/>
          <w:kern w:val="0"/>
          <w:szCs w:val="21"/>
          <w:highlight w:val="none"/>
          <w:u w:val="single"/>
          <w:lang w:eastAsia="zh-CN"/>
        </w:rPr>
        <w:t>市政公用工程施工总承包叁级</w:t>
      </w:r>
      <w:r>
        <w:rPr>
          <w:rFonts w:hint="eastAsia" w:ascii="宋体" w:hAnsi="宋体"/>
          <w:b w:val="0"/>
          <w:bCs w:val="0"/>
          <w:snapToGrid w:val="0"/>
          <w:color w:val="auto"/>
          <w:kern w:val="0"/>
          <w:szCs w:val="21"/>
          <w:highlight w:val="none"/>
          <w:u w:val="none"/>
          <w:lang w:eastAsia="zh-CN"/>
        </w:rPr>
        <w:t>或</w:t>
      </w:r>
      <w:r>
        <w:rPr>
          <w:rFonts w:hint="eastAsia" w:ascii="宋体" w:hAnsi="宋体"/>
          <w:b/>
          <w:bCs/>
          <w:snapToGrid w:val="0"/>
          <w:color w:val="auto"/>
          <w:kern w:val="0"/>
          <w:szCs w:val="21"/>
          <w:highlight w:val="none"/>
          <w:u w:val="single"/>
          <w:lang w:eastAsia="zh-CN"/>
        </w:rPr>
        <w:t>城市及道路照明工程专业承包叁级</w:t>
      </w:r>
      <w:r>
        <w:rPr>
          <w:rFonts w:hint="eastAsia" w:ascii="宋体" w:hAnsi="宋体"/>
          <w:snapToGrid w:val="0"/>
          <w:color w:val="auto"/>
          <w:kern w:val="0"/>
          <w:szCs w:val="21"/>
          <w:highlight w:val="none"/>
        </w:rPr>
        <w:t>及以上资质；并在人员、设备、资金等方面具有相应的施工能力。</w:t>
      </w:r>
    </w:p>
    <w:p>
      <w:pPr>
        <w:pageBreakBefore w:val="0"/>
        <w:widowControl w:val="0"/>
        <w:tabs>
          <w:tab w:val="left" w:pos="3840"/>
          <w:tab w:val="left" w:pos="5300"/>
        </w:tabs>
        <w:kinsoku/>
        <w:overflowPunct/>
        <w:topLinePunct w:val="0"/>
        <w:autoSpaceDE w:val="0"/>
        <w:autoSpaceDN w:val="0"/>
        <w:bidi w:val="0"/>
        <w:adjustRightInd w:val="0"/>
        <w:snapToGrid w:val="0"/>
        <w:spacing w:line="350" w:lineRule="exact"/>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rPr>
        <w:t>3.1.2 投标人还应在人员、设备、资金等方面具有相应的施工能力，详见</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第二章投标人须知前附表第1.4.1条内容。</w:t>
      </w:r>
    </w:p>
    <w:p>
      <w:pPr>
        <w:pageBreakBefore w:val="0"/>
        <w:widowControl w:val="0"/>
        <w:tabs>
          <w:tab w:val="left" w:pos="3045"/>
          <w:tab w:val="left" w:pos="8310"/>
        </w:tabs>
        <w:kinsoku/>
        <w:overflowPunct/>
        <w:topLinePunct w:val="0"/>
        <w:autoSpaceDE w:val="0"/>
        <w:autoSpaceDN w:val="0"/>
        <w:bidi w:val="0"/>
        <w:adjustRightInd w:val="0"/>
        <w:snapToGrid w:val="0"/>
        <w:spacing w:line="35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3.2  </w:t>
      </w:r>
      <w:r>
        <w:rPr>
          <w:rFonts w:hint="eastAsia" w:ascii="宋体" w:hAnsi="宋体"/>
          <w:snapToGrid w:val="0"/>
          <w:color w:val="auto"/>
          <w:kern w:val="0"/>
          <w:szCs w:val="21"/>
          <w:highlight w:val="none"/>
          <w:lang w:eastAsia="zh-CN"/>
        </w:rPr>
        <w:t>本次比选</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w:t>
      </w:r>
    </w:p>
    <w:p>
      <w:pPr>
        <w:pStyle w:val="4"/>
        <w:pageBreakBefore w:val="0"/>
        <w:widowControl w:val="0"/>
        <w:kinsoku/>
        <w:overflowPunct/>
        <w:topLinePunct w:val="0"/>
        <w:bidi w:val="0"/>
        <w:spacing w:before="0" w:after="0" w:line="350" w:lineRule="exact"/>
        <w:textAlignment w:val="auto"/>
        <w:rPr>
          <w:rFonts w:ascii="宋体" w:hAnsi="宋体"/>
          <w:snapToGrid w:val="0"/>
          <w:color w:val="auto"/>
          <w:sz w:val="28"/>
          <w:szCs w:val="28"/>
          <w:highlight w:val="none"/>
        </w:rPr>
      </w:pPr>
      <w:bookmarkStart w:id="37" w:name="_Toc41899995"/>
      <w:bookmarkStart w:id="38" w:name="_Toc277082539"/>
      <w:bookmarkStart w:id="39" w:name="_Toc430530419"/>
      <w:bookmarkStart w:id="40" w:name="_Toc287607731"/>
      <w:bookmarkStart w:id="41" w:name="_Toc200359241"/>
      <w:bookmarkStart w:id="42" w:name="_Toc287620670"/>
      <w:bookmarkStart w:id="43" w:name="_Toc509218695"/>
      <w:bookmarkStart w:id="44" w:name="_Toc200359430"/>
      <w:bookmarkStart w:id="45" w:name="_Toc224103302"/>
      <w:r>
        <w:rPr>
          <w:rFonts w:ascii="宋体" w:hAnsi="宋体"/>
          <w:snapToGrid w:val="0"/>
          <w:color w:val="auto"/>
          <w:sz w:val="28"/>
          <w:szCs w:val="28"/>
          <w:highlight w:val="none"/>
        </w:rPr>
        <w:t>4.</w:t>
      </w:r>
      <w:r>
        <w:rPr>
          <w:rFonts w:hint="eastAsia" w:ascii="宋体" w:hAnsi="宋体"/>
          <w:snapToGrid w:val="0"/>
          <w:color w:val="auto"/>
          <w:sz w:val="28"/>
          <w:szCs w:val="28"/>
          <w:highlight w:val="none"/>
          <w:lang w:eastAsia="zh-CN"/>
        </w:rPr>
        <w:t>比选文件</w:t>
      </w:r>
      <w:r>
        <w:rPr>
          <w:rFonts w:ascii="宋体" w:hAnsi="宋体"/>
          <w:snapToGrid w:val="0"/>
          <w:color w:val="auto"/>
          <w:sz w:val="28"/>
          <w:szCs w:val="28"/>
          <w:highlight w:val="none"/>
        </w:rPr>
        <w:t>的获取</w:t>
      </w:r>
      <w:bookmarkEnd w:id="37"/>
      <w:bookmarkEnd w:id="38"/>
      <w:bookmarkEnd w:id="39"/>
      <w:bookmarkEnd w:id="40"/>
      <w:bookmarkEnd w:id="41"/>
      <w:bookmarkEnd w:id="42"/>
      <w:bookmarkEnd w:id="43"/>
      <w:bookmarkEnd w:id="44"/>
      <w:bookmarkEnd w:id="45"/>
    </w:p>
    <w:p>
      <w:pPr>
        <w:pageBreakBefore w:val="0"/>
        <w:widowControl w:val="0"/>
        <w:kinsoku/>
        <w:wordWrap/>
        <w:overflowPunct/>
        <w:topLinePunct w:val="0"/>
        <w:bidi w:val="0"/>
        <w:spacing w:line="35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w:t>
      </w:r>
      <w:r>
        <w:rPr>
          <w:rFonts w:hint="eastAsia" w:ascii="宋体" w:hAnsi="宋体" w:cs="仿宋"/>
          <w:snapToGrid w:val="0"/>
          <w:kern w:val="0"/>
          <w:szCs w:val="21"/>
        </w:rPr>
        <w:t>该工程不需</w:t>
      </w:r>
      <w:r>
        <w:rPr>
          <w:rFonts w:hint="eastAsia" w:ascii="宋体" w:hAnsi="宋体" w:cs="仿宋"/>
          <w:snapToGrid w:val="0"/>
          <w:kern w:val="0"/>
          <w:szCs w:val="21"/>
          <w:lang w:eastAsia="zh-CN"/>
        </w:rPr>
        <w:t>提前</w:t>
      </w:r>
      <w:r>
        <w:rPr>
          <w:rFonts w:hint="eastAsia" w:ascii="宋体" w:hAnsi="宋体" w:cs="仿宋"/>
          <w:snapToGrid w:val="0"/>
          <w:kern w:val="0"/>
          <w:szCs w:val="21"/>
        </w:rPr>
        <w:t>报名，开标时直接投标，凡有意参加投标者，请于</w:t>
      </w:r>
      <w:r>
        <w:rPr>
          <w:rFonts w:hint="eastAsia" w:ascii="宋体" w:hAnsi="宋体" w:cs="仿宋"/>
          <w:snapToGrid w:val="0"/>
          <w:kern w:val="0"/>
          <w:szCs w:val="21"/>
          <w:lang w:eastAsia="zh-CN"/>
        </w:rPr>
        <w:t>本公告发布之</w:t>
      </w:r>
      <w:r>
        <w:rPr>
          <w:rFonts w:hint="eastAsia" w:ascii="宋体" w:hAnsi="宋体" w:cs="仿宋"/>
          <w:snapToGrid w:val="0"/>
          <w:kern w:val="0"/>
          <w:szCs w:val="21"/>
        </w:rPr>
        <w:t>日起在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仿宋"/>
          <w:snapToGrid w:val="0"/>
          <w:kern w:val="0"/>
          <w:szCs w:val="21"/>
        </w:rPr>
        <w:t>上下载</w:t>
      </w:r>
      <w:r>
        <w:rPr>
          <w:rFonts w:hint="eastAsia" w:ascii="宋体" w:hAnsi="宋体" w:cs="宋体"/>
          <w:kern w:val="0"/>
          <w:szCs w:val="21"/>
          <w:lang w:val="en-US" w:eastAsia="zh-CN"/>
        </w:rPr>
        <w:t>比选文件、</w:t>
      </w:r>
      <w:r>
        <w:rPr>
          <w:rFonts w:hint="eastAsia" w:ascii="宋体" w:hAnsi="宋体" w:cs="宋体"/>
          <w:kern w:val="0"/>
          <w:szCs w:val="21"/>
        </w:rPr>
        <w:t>清单及限价</w:t>
      </w:r>
      <w:r>
        <w:rPr>
          <w:rFonts w:hint="eastAsia" w:ascii="宋体" w:hAnsi="宋体" w:cs="宋体"/>
          <w:kern w:val="0"/>
          <w:szCs w:val="21"/>
          <w:lang w:eastAsia="zh-CN"/>
        </w:rPr>
        <w:t>、施工图</w:t>
      </w:r>
      <w:r>
        <w:rPr>
          <w:rFonts w:hint="eastAsia" w:ascii="宋体" w:hAnsi="宋体" w:cs="宋体"/>
          <w:kern w:val="0"/>
          <w:szCs w:val="21"/>
          <w:lang w:val="en-US" w:eastAsia="zh-CN"/>
        </w:rPr>
        <w:t>等</w:t>
      </w:r>
      <w:r>
        <w:rPr>
          <w:rFonts w:hint="eastAsia" w:ascii="宋体" w:hAnsi="宋体" w:cs="宋体"/>
          <w:kern w:val="0"/>
          <w:szCs w:val="21"/>
        </w:rPr>
        <w:t>其它相关技术资料</w:t>
      </w:r>
      <w:r>
        <w:rPr>
          <w:rFonts w:hint="eastAsia" w:ascii="宋体" w:hAnsi="宋体" w:cs="仿宋"/>
          <w:snapToGrid w:val="0"/>
          <w:kern w:val="0"/>
          <w:szCs w:val="21"/>
        </w:rPr>
        <w:t>等开标前的有关资料，不管下载与否都视为投标人全部知晓有关</w:t>
      </w:r>
      <w:r>
        <w:rPr>
          <w:rFonts w:hint="eastAsia" w:ascii="宋体" w:hAnsi="宋体" w:cs="仿宋"/>
          <w:snapToGrid w:val="0"/>
          <w:kern w:val="0"/>
          <w:szCs w:val="21"/>
          <w:lang w:eastAsia="zh-CN"/>
        </w:rPr>
        <w:t>比选</w:t>
      </w:r>
      <w:r>
        <w:rPr>
          <w:rFonts w:hint="eastAsia" w:ascii="宋体" w:hAnsi="宋体" w:cs="仿宋"/>
          <w:snapToGrid w:val="0"/>
          <w:kern w:val="0"/>
          <w:szCs w:val="21"/>
        </w:rPr>
        <w:t>过程和事宜。</w:t>
      </w:r>
    </w:p>
    <w:p>
      <w:pPr>
        <w:pageBreakBefore w:val="0"/>
        <w:widowControl w:val="0"/>
        <w:kinsoku/>
        <w:wordWrap/>
        <w:overflowPunct/>
        <w:topLinePunct w:val="0"/>
        <w:bidi w:val="0"/>
        <w:spacing w:line="35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 xml:space="preserve"> 本公告开始发布至投标截止时间止，各投标人应随时关注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napToGrid w:val="0"/>
          <w:color w:val="auto"/>
          <w:kern w:val="0"/>
          <w:szCs w:val="21"/>
          <w:highlight w:val="none"/>
          <w:lang w:val="en-US" w:eastAsia="zh-CN"/>
        </w:rPr>
        <w:t>上</w:t>
      </w:r>
      <w:r>
        <w:rPr>
          <w:rFonts w:hint="eastAsia" w:ascii="宋体" w:hAnsi="宋体" w:eastAsia="宋体" w:cs="宋体"/>
          <w:snapToGrid w:val="0"/>
          <w:color w:val="auto"/>
          <w:kern w:val="0"/>
          <w:szCs w:val="21"/>
          <w:highlight w:val="none"/>
        </w:rPr>
        <w:t>关于本</w:t>
      </w:r>
      <w:r>
        <w:rPr>
          <w:rFonts w:hint="eastAsia" w:ascii="宋体" w:hAnsi="宋体" w:eastAsia="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项目相关修改或补充内容。</w:t>
      </w:r>
    </w:p>
    <w:p>
      <w:pPr>
        <w:pStyle w:val="4"/>
        <w:pageBreakBefore w:val="0"/>
        <w:widowControl w:val="0"/>
        <w:kinsoku/>
        <w:overflowPunct/>
        <w:topLinePunct w:val="0"/>
        <w:bidi w:val="0"/>
        <w:spacing w:before="0" w:after="0" w:line="350" w:lineRule="exact"/>
        <w:textAlignment w:val="auto"/>
        <w:rPr>
          <w:rFonts w:ascii="宋体" w:hAnsi="宋体"/>
          <w:snapToGrid w:val="0"/>
          <w:color w:val="auto"/>
          <w:sz w:val="28"/>
          <w:szCs w:val="28"/>
          <w:highlight w:val="none"/>
        </w:rPr>
      </w:pPr>
      <w:bookmarkStart w:id="46" w:name="_Toc200359431"/>
      <w:bookmarkStart w:id="47" w:name="_Toc287620671"/>
      <w:bookmarkStart w:id="48" w:name="_Toc200359242"/>
      <w:bookmarkStart w:id="49" w:name="_Toc509218696"/>
      <w:bookmarkStart w:id="50" w:name="_Toc287607732"/>
      <w:bookmarkStart w:id="51" w:name="_Toc430530420"/>
      <w:bookmarkStart w:id="52" w:name="_Toc41899996"/>
      <w:bookmarkStart w:id="53" w:name="_Toc224103303"/>
      <w:bookmarkStart w:id="54" w:name="_Toc277082540"/>
      <w:r>
        <w:rPr>
          <w:rFonts w:ascii="宋体" w:hAnsi="宋体"/>
          <w:snapToGrid w:val="0"/>
          <w:color w:val="auto"/>
          <w:sz w:val="28"/>
          <w:szCs w:val="28"/>
          <w:highlight w:val="none"/>
        </w:rPr>
        <w:t>5.投标文件的递交</w:t>
      </w:r>
      <w:bookmarkEnd w:id="46"/>
      <w:bookmarkEnd w:id="47"/>
      <w:bookmarkEnd w:id="48"/>
      <w:bookmarkEnd w:id="49"/>
      <w:bookmarkEnd w:id="50"/>
      <w:bookmarkEnd w:id="51"/>
      <w:bookmarkEnd w:id="52"/>
      <w:bookmarkEnd w:id="53"/>
      <w:bookmarkEnd w:id="54"/>
    </w:p>
    <w:p>
      <w:pPr>
        <w:pageBreakBefore w:val="0"/>
        <w:widowControl w:val="0"/>
        <w:kinsoku/>
        <w:wordWrap/>
        <w:overflowPunct/>
        <w:topLinePunct w:val="0"/>
        <w:bidi w:val="0"/>
        <w:spacing w:line="35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5.1 </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文件递交时间为202</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1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16 </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u w:val="none"/>
          <w:lang w:val="en-US" w:eastAsia="zh-CN"/>
        </w:rPr>
        <w:t xml:space="preserve"> 14 </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0分至</w:t>
      </w:r>
      <w:r>
        <w:rPr>
          <w:rFonts w:hint="eastAsia" w:ascii="宋体" w:hAnsi="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分，递交截止时间（</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截止时间，下同）为202</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1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16 </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分，地点：</w:t>
      </w:r>
      <w:r>
        <w:rPr>
          <w:rFonts w:hint="eastAsia" w:ascii="宋体" w:hAnsi="宋体" w:cs="宋体"/>
          <w:snapToGrid w:val="0"/>
          <w:color w:val="auto"/>
          <w:kern w:val="0"/>
          <w:szCs w:val="21"/>
          <w:highlight w:val="none"/>
          <w:lang w:eastAsia="zh-CN"/>
        </w:rPr>
        <w:t>重庆安居古城华夏文化旅游发展有限公司会议室</w:t>
      </w:r>
      <w:r>
        <w:rPr>
          <w:rFonts w:hint="eastAsia" w:ascii="宋体" w:hAnsi="宋体" w:eastAsia="宋体" w:cs="宋体"/>
          <w:color w:val="auto"/>
          <w:highlight w:val="none"/>
        </w:rPr>
        <w:t>。</w:t>
      </w:r>
    </w:p>
    <w:p>
      <w:pPr>
        <w:pageBreakBefore w:val="0"/>
        <w:widowControl w:val="0"/>
        <w:kinsoku/>
        <w:overflowPunct/>
        <w:topLinePunct w:val="0"/>
        <w:autoSpaceDE w:val="0"/>
        <w:autoSpaceDN w:val="0"/>
        <w:bidi w:val="0"/>
        <w:adjustRightInd w:val="0"/>
        <w:snapToGrid w:val="0"/>
        <w:spacing w:line="350" w:lineRule="exact"/>
        <w:ind w:firstLine="420" w:firstLineChars="200"/>
        <w:textAlignment w:val="auto"/>
        <w:rPr>
          <w:rFonts w:ascii="宋体" w:hAnsi="宋体"/>
          <w:snapToGrid w:val="0"/>
          <w:color w:val="auto"/>
          <w:kern w:val="0"/>
          <w:szCs w:val="21"/>
          <w:highlight w:val="none"/>
        </w:rPr>
      </w:pPr>
      <w:r>
        <w:rPr>
          <w:rFonts w:hint="eastAsia" w:ascii="宋体" w:hAnsi="宋体" w:eastAsia="宋体" w:cs="宋体"/>
          <w:snapToGrid w:val="0"/>
          <w:color w:val="auto"/>
          <w:kern w:val="0"/>
          <w:szCs w:val="21"/>
          <w:highlight w:val="none"/>
        </w:rPr>
        <w:t>5.2 逾期送达的或者未送达指定地点的</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文件，比选人不予受理</w:t>
      </w:r>
      <w:r>
        <w:rPr>
          <w:rFonts w:ascii="宋体" w:hAnsi="宋体"/>
          <w:snapToGrid w:val="0"/>
          <w:color w:val="auto"/>
          <w:kern w:val="0"/>
          <w:szCs w:val="21"/>
          <w:highlight w:val="none"/>
        </w:rPr>
        <w:t>。</w:t>
      </w:r>
    </w:p>
    <w:p>
      <w:pPr>
        <w:pStyle w:val="4"/>
        <w:pageBreakBefore w:val="0"/>
        <w:widowControl w:val="0"/>
        <w:kinsoku/>
        <w:overflowPunct/>
        <w:topLinePunct w:val="0"/>
        <w:bidi w:val="0"/>
        <w:spacing w:before="0" w:after="0" w:line="350" w:lineRule="exact"/>
        <w:textAlignment w:val="auto"/>
        <w:rPr>
          <w:rFonts w:ascii="宋体" w:hAnsi="宋体"/>
          <w:snapToGrid w:val="0"/>
          <w:color w:val="auto"/>
          <w:sz w:val="28"/>
          <w:szCs w:val="28"/>
          <w:highlight w:val="none"/>
        </w:rPr>
      </w:pPr>
      <w:bookmarkStart w:id="55" w:name="_Toc41899997"/>
      <w:bookmarkStart w:id="56" w:name="_Toc200359432"/>
      <w:bookmarkStart w:id="57" w:name="_Toc224103304"/>
      <w:bookmarkStart w:id="58" w:name="_Toc200359243"/>
      <w:bookmarkStart w:id="59" w:name="_Toc287620672"/>
      <w:bookmarkStart w:id="60" w:name="_Toc509218697"/>
      <w:bookmarkStart w:id="61" w:name="_Toc287607733"/>
      <w:bookmarkStart w:id="62" w:name="_Toc277082541"/>
      <w:bookmarkStart w:id="63" w:name="_Toc430530421"/>
      <w:r>
        <w:rPr>
          <w:rFonts w:ascii="宋体" w:hAnsi="宋体"/>
          <w:snapToGrid w:val="0"/>
          <w:color w:val="auto"/>
          <w:sz w:val="28"/>
          <w:szCs w:val="28"/>
          <w:highlight w:val="none"/>
        </w:rPr>
        <w:t>6.</w:t>
      </w:r>
      <w:bookmarkEnd w:id="55"/>
      <w:bookmarkEnd w:id="56"/>
      <w:bookmarkEnd w:id="57"/>
      <w:bookmarkEnd w:id="58"/>
      <w:bookmarkEnd w:id="59"/>
      <w:bookmarkEnd w:id="60"/>
      <w:bookmarkEnd w:id="61"/>
      <w:bookmarkEnd w:id="62"/>
      <w:bookmarkEnd w:id="63"/>
      <w:bookmarkStart w:id="64" w:name="_Toc287607734"/>
      <w:bookmarkStart w:id="65" w:name="_Toc224103305"/>
      <w:bookmarkStart w:id="66" w:name="_Toc41899998"/>
      <w:bookmarkStart w:id="67" w:name="_Toc277082542"/>
      <w:bookmarkStart w:id="68" w:name="_Toc430530422"/>
      <w:bookmarkStart w:id="69" w:name="_Toc509218698"/>
      <w:bookmarkStart w:id="70" w:name="_Toc287620673"/>
      <w:r>
        <w:rPr>
          <w:rFonts w:ascii="宋体" w:hAnsi="宋体"/>
          <w:snapToGrid w:val="0"/>
          <w:color w:val="auto"/>
          <w:sz w:val="28"/>
          <w:szCs w:val="28"/>
          <w:highlight w:val="none"/>
        </w:rPr>
        <w:t>联系方式</w:t>
      </w:r>
      <w:bookmarkEnd w:id="64"/>
      <w:bookmarkEnd w:id="65"/>
      <w:bookmarkEnd w:id="66"/>
      <w:bookmarkEnd w:id="67"/>
      <w:bookmarkEnd w:id="68"/>
      <w:bookmarkEnd w:id="69"/>
      <w:bookmarkEnd w:id="70"/>
    </w:p>
    <w:p>
      <w:pPr>
        <w:pageBreakBefore w:val="0"/>
        <w:widowControl w:val="0"/>
        <w:tabs>
          <w:tab w:val="left" w:pos="5140"/>
          <w:tab w:val="left" w:pos="8520"/>
        </w:tabs>
        <w:kinsoku/>
        <w:overflowPunct/>
        <w:topLinePunct w:val="0"/>
        <w:autoSpaceDE w:val="0"/>
        <w:autoSpaceDN w:val="0"/>
        <w:bidi w:val="0"/>
        <w:adjustRightInd w:val="0"/>
        <w:snapToGrid w:val="0"/>
        <w:spacing w:line="350" w:lineRule="exact"/>
        <w:ind w:left="5880" w:hanging="5880" w:hangingChars="2800"/>
        <w:jc w:val="left"/>
        <w:textAlignment w:val="auto"/>
        <w:rPr>
          <w:rFonts w:ascii="宋体" w:hAnsi="宋体" w:cs="宋体"/>
          <w:snapToGrid w:val="0"/>
          <w:color w:val="auto"/>
          <w:spacing w:val="0"/>
          <w:kern w:val="0"/>
          <w:sz w:val="21"/>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重庆安居古城华夏文化旅游发展有限公司</w:t>
      </w:r>
      <w:r>
        <w:rPr>
          <w:rFonts w:hint="eastAsia" w:ascii="宋体" w:hAnsi="宋体" w:cs="宋体"/>
          <w:snapToGrid w:val="0"/>
          <w:color w:val="auto"/>
          <w:kern w:val="0"/>
          <w:highlight w:val="none"/>
        </w:rPr>
        <w:t xml:space="preserve"> </w:t>
      </w:r>
      <w:r>
        <w:rPr>
          <w:rFonts w:hint="eastAsia" w:ascii="宋体" w:hAnsi="宋体" w:cs="宋体"/>
          <w:color w:val="auto"/>
          <w:spacing w:val="0"/>
          <w:kern w:val="0"/>
          <w:sz w:val="21"/>
          <w:szCs w:val="21"/>
          <w:highlight w:val="none"/>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50" w:lineRule="exact"/>
        <w:ind w:left="4935" w:hanging="4935" w:hangingChars="2350"/>
        <w:jc w:val="left"/>
        <w:textAlignment w:val="auto"/>
        <w:rPr>
          <w:rFonts w:hint="eastAsia" w:ascii="宋体" w:hAnsi="宋体" w:cs="宋体"/>
          <w:snapToGrid w:val="0"/>
          <w:color w:val="auto"/>
          <w:spacing w:val="0"/>
          <w:kern w:val="0"/>
          <w:sz w:val="21"/>
          <w:highlight w:val="none"/>
          <w:lang w:eastAsia="zh-CN"/>
        </w:rPr>
      </w:pPr>
      <w:r>
        <w:rPr>
          <w:rFonts w:hint="eastAsia" w:ascii="宋体" w:hAnsi="宋体" w:cs="宋体"/>
          <w:snapToGrid w:val="0"/>
          <w:color w:val="auto"/>
          <w:spacing w:val="0"/>
          <w:kern w:val="0"/>
          <w:sz w:val="21"/>
          <w:highlight w:val="none"/>
        </w:rPr>
        <w:t>地</w:t>
      </w:r>
      <w:r>
        <w:rPr>
          <w:rFonts w:hint="eastAsia" w:ascii="宋体" w:hAnsi="宋体" w:cs="宋体"/>
          <w:snapToGrid w:val="0"/>
          <w:color w:val="auto"/>
          <w:spacing w:val="0"/>
          <w:kern w:val="0"/>
          <w:sz w:val="21"/>
          <w:highlight w:val="none"/>
          <w:lang w:val="en-US" w:eastAsia="zh-CN"/>
        </w:rPr>
        <w:t xml:space="preserve">  </w:t>
      </w:r>
      <w:r>
        <w:rPr>
          <w:rFonts w:hint="eastAsia" w:ascii="宋体" w:hAnsi="宋体" w:cs="宋体"/>
          <w:snapToGrid w:val="0"/>
          <w:color w:val="auto"/>
          <w:spacing w:val="0"/>
          <w:kern w:val="0"/>
          <w:sz w:val="21"/>
          <w:highlight w:val="none"/>
        </w:rPr>
        <w:t>址：</w:t>
      </w:r>
      <w:r>
        <w:rPr>
          <w:rFonts w:hint="eastAsia" w:ascii="宋体" w:hAnsi="宋体" w:cs="宋体"/>
          <w:spacing w:val="19"/>
          <w:kern w:val="0"/>
          <w:szCs w:val="21"/>
          <w:lang w:eastAsia="zh-CN"/>
        </w:rPr>
        <w:t>重庆市铜梁区安居镇龙泉村一社</w:t>
      </w:r>
      <w:r>
        <w:rPr>
          <w:rFonts w:hint="eastAsia" w:ascii="宋体" w:hAnsi="宋体" w:cs="宋体"/>
          <w:snapToGrid w:val="0"/>
          <w:color w:val="auto"/>
          <w:spacing w:val="0"/>
          <w:kern w:val="0"/>
          <w:sz w:val="21"/>
          <w:highlight w:val="none"/>
          <w:lang w:val="en-US" w:eastAsia="zh-CN"/>
        </w:rPr>
        <w:t xml:space="preserve">               </w:t>
      </w:r>
      <w:r>
        <w:rPr>
          <w:rFonts w:hint="eastAsia" w:ascii="宋体" w:hAnsi="宋体" w:cs="宋体"/>
          <w:snapToGrid w:val="0"/>
          <w:color w:val="auto"/>
          <w:spacing w:val="0"/>
          <w:kern w:val="0"/>
          <w:sz w:val="21"/>
          <w:highlight w:val="none"/>
        </w:rPr>
        <w:t xml:space="preserve"> </w:t>
      </w:r>
      <w:r>
        <w:rPr>
          <w:rFonts w:hint="eastAsia" w:ascii="宋体" w:hAnsi="宋体" w:cs="宋体"/>
          <w:snapToGrid w:val="0"/>
          <w:color w:val="auto"/>
          <w:spacing w:val="0"/>
          <w:kern w:val="0"/>
          <w:sz w:val="21"/>
          <w:highlight w:val="none"/>
          <w:lang w:val="en-US" w:eastAsia="zh-CN"/>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50" w:lineRule="exact"/>
        <w:ind w:left="4935" w:hanging="4935" w:hangingChars="2350"/>
        <w:jc w:val="left"/>
        <w:textAlignment w:val="auto"/>
        <w:rPr>
          <w:rFonts w:hint="default" w:ascii="宋体" w:hAnsi="宋体" w:eastAsia="宋体" w:cs="宋体"/>
          <w:snapToGrid w:val="0"/>
          <w:color w:val="auto"/>
          <w:kern w:val="0"/>
          <w:highlight w:val="none"/>
          <w:lang w:val="en-US" w:eastAsia="zh-CN"/>
        </w:rPr>
      </w:pPr>
      <w:r>
        <w:rPr>
          <w:rFonts w:hint="eastAsia" w:ascii="宋体" w:hAnsi="宋体" w:cs="宋体"/>
          <w:snapToGrid w:val="0"/>
          <w:color w:val="auto"/>
          <w:kern w:val="0"/>
          <w:highlight w:val="none"/>
        </w:rPr>
        <w:t>联系人：</w:t>
      </w:r>
      <w:r>
        <w:rPr>
          <w:rFonts w:hint="eastAsia" w:ascii="宋体" w:hAnsi="宋体" w:cs="宋体"/>
          <w:snapToGrid w:val="0"/>
          <w:color w:val="auto"/>
          <w:kern w:val="0"/>
          <w:highlight w:val="none"/>
          <w:lang w:eastAsia="zh-CN"/>
        </w:rPr>
        <w:t>谭老师</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highlight w:val="none"/>
        </w:rPr>
        <w:t xml:space="preserve"> </w:t>
      </w:r>
      <w:r>
        <w:rPr>
          <w:rFonts w:hint="eastAsia" w:ascii="宋体" w:hAnsi="宋体" w:cs="宋体"/>
          <w:snapToGrid w:val="0"/>
          <w:color w:val="auto"/>
          <w:kern w:val="0"/>
          <w:highlight w:val="none"/>
          <w:lang w:val="en-US" w:eastAsia="zh-CN"/>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50" w:lineRule="exact"/>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电</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rPr>
        <w:t>话：</w:t>
      </w:r>
      <w:r>
        <w:rPr>
          <w:rFonts w:hint="eastAsia" w:ascii="宋体" w:hAnsi="宋体" w:cs="宋体"/>
          <w:kern w:val="0"/>
          <w:szCs w:val="21"/>
          <w:lang w:val="en-US" w:eastAsia="zh-CN"/>
        </w:rPr>
        <w:t>18996060363</w:t>
      </w:r>
      <w:r>
        <w:rPr>
          <w:rFonts w:hint="eastAsia" w:ascii="宋体" w:hAnsi="宋体" w:cs="宋体"/>
          <w:snapToGrid w:val="0"/>
          <w:color w:val="auto"/>
          <w:kern w:val="0"/>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val="0"/>
        <w:spacing w:line="350" w:lineRule="exact"/>
        <w:ind w:firstLine="0" w:firstLineChars="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比选代</w:t>
      </w:r>
      <w:r>
        <w:rPr>
          <w:rFonts w:hint="eastAsia" w:ascii="宋体" w:hAnsi="宋体" w:cs="宋体"/>
          <w:snapToGrid w:val="0"/>
          <w:color w:val="auto"/>
          <w:spacing w:val="0"/>
          <w:kern w:val="0"/>
          <w:sz w:val="21"/>
          <w:highlight w:val="none"/>
          <w:lang w:eastAsia="zh-CN"/>
        </w:rPr>
        <w:t>理机构</w:t>
      </w:r>
      <w:r>
        <w:rPr>
          <w:rFonts w:hint="eastAsia" w:ascii="宋体" w:hAnsi="宋体" w:cs="宋体"/>
          <w:snapToGrid w:val="0"/>
          <w:color w:val="auto"/>
          <w:spacing w:val="0"/>
          <w:kern w:val="0"/>
          <w:sz w:val="21"/>
          <w:highlight w:val="none"/>
        </w:rPr>
        <w:t>：</w:t>
      </w:r>
      <w:r>
        <w:rPr>
          <w:rFonts w:hint="eastAsia" w:ascii="宋体" w:hAnsi="宋体" w:cs="宋体"/>
          <w:color w:val="auto"/>
          <w:spacing w:val="0"/>
          <w:kern w:val="0"/>
          <w:sz w:val="21"/>
          <w:szCs w:val="21"/>
          <w:highlight w:val="none"/>
          <w:lang w:eastAsia="zh-CN"/>
        </w:rPr>
        <w:t>重庆望高工程项目管理有限公司</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rPr>
        <w:t xml:space="preserve">   </w:t>
      </w:r>
    </w:p>
    <w:p>
      <w:pPr>
        <w:pStyle w:val="3"/>
        <w:keepNext/>
        <w:keepLines/>
        <w:pageBreakBefore w:val="0"/>
        <w:widowControl w:val="0"/>
        <w:kinsoku/>
        <w:wordWrap/>
        <w:overflowPunct/>
        <w:topLinePunct w:val="0"/>
        <w:autoSpaceDE/>
        <w:autoSpaceDN/>
        <w:bidi w:val="0"/>
        <w:adjustRightInd/>
        <w:snapToGrid/>
        <w:spacing w:before="0" w:after="0" w:line="350" w:lineRule="exact"/>
        <w:jc w:val="left"/>
        <w:textAlignment w:val="auto"/>
        <w:rPr>
          <w:rFonts w:ascii="宋体" w:hAnsi="宋体"/>
          <w:bCs w:val="0"/>
          <w:snapToGrid w:val="0"/>
          <w:color w:val="auto"/>
          <w:kern w:val="0"/>
          <w:highlight w:val="none"/>
        </w:rPr>
      </w:pPr>
      <w:bookmarkStart w:id="71" w:name="_Toc430530432"/>
      <w:bookmarkStart w:id="72" w:name="_Toc287620683"/>
      <w:bookmarkStart w:id="73" w:name="_Toc287607744"/>
      <w:bookmarkStart w:id="74" w:name="_Toc224103315"/>
      <w:r>
        <w:rPr>
          <w:rFonts w:hint="eastAsia" w:ascii="宋体" w:hAnsi="宋体" w:eastAsia="宋体" w:cs="宋体"/>
          <w:b w:val="0"/>
          <w:bCs w:val="0"/>
          <w:color w:val="auto"/>
          <w:spacing w:val="0"/>
          <w:kern w:val="0"/>
          <w:sz w:val="21"/>
          <w:szCs w:val="21"/>
          <w:highlight w:val="none"/>
          <w:lang w:val="en-US" w:eastAsia="zh-CN" w:bidi="ar-SA"/>
        </w:rPr>
        <w:t>地  址：</w:t>
      </w:r>
      <w:r>
        <w:rPr>
          <w:rFonts w:hint="eastAsia" w:ascii="宋体" w:hAnsi="宋体" w:cs="宋体"/>
          <w:b w:val="0"/>
          <w:bCs w:val="0"/>
          <w:color w:val="auto"/>
          <w:spacing w:val="0"/>
          <w:kern w:val="0"/>
          <w:sz w:val="21"/>
          <w:szCs w:val="21"/>
          <w:highlight w:val="none"/>
          <w:lang w:val="en-US" w:eastAsia="zh-CN" w:bidi="ar-SA"/>
        </w:rPr>
        <w:t>重庆市渝北区红锦大道611号23-2</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eastAsia="宋体" w:cs="宋体"/>
          <w:b w:val="0"/>
          <w:bCs w:val="0"/>
          <w:color w:val="auto"/>
          <w:spacing w:val="0"/>
          <w:kern w:val="0"/>
          <w:sz w:val="21"/>
          <w:szCs w:val="21"/>
          <w:highlight w:val="none"/>
          <w:lang w:val="en-US" w:eastAsia="zh-CN" w:bidi="ar-SA"/>
        </w:rPr>
        <w:t xml:space="preserve">联系人: </w:t>
      </w:r>
      <w:r>
        <w:rPr>
          <w:rFonts w:hint="eastAsia" w:ascii="宋体" w:hAnsi="宋体" w:cs="宋体"/>
          <w:b w:val="0"/>
          <w:bCs w:val="0"/>
          <w:color w:val="auto"/>
          <w:spacing w:val="0"/>
          <w:kern w:val="0"/>
          <w:sz w:val="21"/>
          <w:szCs w:val="21"/>
          <w:highlight w:val="none"/>
          <w:lang w:val="en-US" w:eastAsia="zh-CN" w:bidi="ar-SA"/>
        </w:rPr>
        <w:t>李</w:t>
      </w:r>
      <w:r>
        <w:rPr>
          <w:rFonts w:hint="eastAsia" w:ascii="宋体" w:hAnsi="宋体" w:eastAsia="宋体" w:cs="宋体"/>
          <w:b w:val="0"/>
          <w:bCs w:val="0"/>
          <w:color w:val="auto"/>
          <w:spacing w:val="0"/>
          <w:kern w:val="0"/>
          <w:sz w:val="21"/>
          <w:szCs w:val="21"/>
          <w:highlight w:val="none"/>
          <w:lang w:val="en-US" w:eastAsia="zh-CN" w:bidi="ar-SA"/>
        </w:rPr>
        <w:t>老师</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eastAsia="宋体" w:cs="宋体"/>
          <w:b w:val="0"/>
          <w:bCs w:val="0"/>
          <w:color w:val="auto"/>
          <w:spacing w:val="0"/>
          <w:kern w:val="0"/>
          <w:sz w:val="21"/>
          <w:szCs w:val="21"/>
          <w:highlight w:val="none"/>
          <w:lang w:val="en-US" w:eastAsia="zh-CN" w:bidi="ar-SA"/>
        </w:rPr>
        <w:t>联系电话：</w:t>
      </w:r>
      <w:r>
        <w:rPr>
          <w:rFonts w:hint="eastAsia" w:ascii="宋体" w:hAnsi="宋体" w:cs="宋体"/>
          <w:b w:val="0"/>
          <w:bCs w:val="0"/>
          <w:color w:val="auto"/>
          <w:spacing w:val="0"/>
          <w:kern w:val="0"/>
          <w:sz w:val="21"/>
          <w:szCs w:val="21"/>
          <w:highlight w:val="none"/>
          <w:lang w:val="en-US" w:eastAsia="zh-CN" w:bidi="ar-SA"/>
        </w:rPr>
        <w:t>15086781050</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cs="宋体"/>
          <w:b w:val="0"/>
          <w:bCs w:val="0"/>
          <w:color w:val="auto"/>
          <w:spacing w:val="0"/>
          <w:kern w:val="0"/>
          <w:sz w:val="21"/>
          <w:szCs w:val="21"/>
          <w:highlight w:val="none"/>
          <w:lang w:val="en-US" w:eastAsia="zh-CN" w:bidi="ar-SA"/>
        </w:rPr>
        <w:t xml:space="preserve">                                                                        </w:t>
      </w:r>
      <w:r>
        <w:rPr>
          <w:rFonts w:hint="eastAsia" w:ascii="宋体" w:hAnsi="宋体" w:eastAsia="宋体" w:cs="宋体"/>
          <w:b w:val="0"/>
          <w:bCs w:val="0"/>
          <w:snapToGrid w:val="0"/>
          <w:color w:val="auto"/>
          <w:spacing w:val="0"/>
          <w:kern w:val="0"/>
          <w:sz w:val="21"/>
          <w:szCs w:val="24"/>
          <w:highlight w:val="none"/>
          <w:lang w:val="en-US" w:eastAsia="zh-CN" w:bidi="ar-SA"/>
        </w:rPr>
        <w:t>202</w:t>
      </w:r>
      <w:r>
        <w:rPr>
          <w:rFonts w:hint="eastAsia" w:ascii="宋体" w:hAnsi="宋体" w:cs="宋体"/>
          <w:b w:val="0"/>
          <w:bCs w:val="0"/>
          <w:snapToGrid w:val="0"/>
          <w:color w:val="auto"/>
          <w:spacing w:val="0"/>
          <w:kern w:val="0"/>
          <w:sz w:val="21"/>
          <w:szCs w:val="24"/>
          <w:highlight w:val="none"/>
          <w:lang w:val="en-US" w:eastAsia="zh-CN" w:bidi="ar-SA"/>
        </w:rPr>
        <w:t>3</w:t>
      </w:r>
      <w:r>
        <w:rPr>
          <w:rFonts w:hint="eastAsia" w:ascii="宋体" w:hAnsi="宋体" w:eastAsia="宋体" w:cs="宋体"/>
          <w:b w:val="0"/>
          <w:bCs w:val="0"/>
          <w:snapToGrid w:val="0"/>
          <w:color w:val="auto"/>
          <w:spacing w:val="0"/>
          <w:kern w:val="0"/>
          <w:sz w:val="21"/>
          <w:szCs w:val="24"/>
          <w:highlight w:val="none"/>
          <w:lang w:val="en-US" w:eastAsia="zh-CN" w:bidi="ar-SA"/>
        </w:rPr>
        <w:t>年</w:t>
      </w:r>
      <w:r>
        <w:rPr>
          <w:rFonts w:hint="eastAsia" w:ascii="宋体" w:hAnsi="宋体" w:cs="宋体"/>
          <w:b w:val="0"/>
          <w:bCs w:val="0"/>
          <w:snapToGrid w:val="0"/>
          <w:color w:val="auto"/>
          <w:spacing w:val="0"/>
          <w:kern w:val="0"/>
          <w:sz w:val="21"/>
          <w:szCs w:val="24"/>
          <w:highlight w:val="none"/>
          <w:lang w:val="en-US" w:eastAsia="zh-CN" w:bidi="ar-SA"/>
        </w:rPr>
        <w:t xml:space="preserve"> 1 </w:t>
      </w:r>
      <w:r>
        <w:rPr>
          <w:rFonts w:hint="eastAsia" w:ascii="宋体" w:hAnsi="宋体" w:eastAsia="宋体" w:cs="宋体"/>
          <w:b w:val="0"/>
          <w:bCs w:val="0"/>
          <w:snapToGrid w:val="0"/>
          <w:color w:val="auto"/>
          <w:spacing w:val="0"/>
          <w:kern w:val="0"/>
          <w:sz w:val="21"/>
          <w:szCs w:val="24"/>
          <w:highlight w:val="none"/>
          <w:lang w:val="en-US" w:eastAsia="zh-CN" w:bidi="ar-SA"/>
        </w:rPr>
        <w:t>月</w:t>
      </w:r>
      <w:r>
        <w:rPr>
          <w:rFonts w:hint="eastAsia" w:ascii="宋体" w:hAnsi="宋体" w:cs="宋体"/>
          <w:b w:val="0"/>
          <w:bCs w:val="0"/>
          <w:snapToGrid w:val="0"/>
          <w:color w:val="auto"/>
          <w:spacing w:val="0"/>
          <w:kern w:val="0"/>
          <w:sz w:val="21"/>
          <w:szCs w:val="24"/>
          <w:highlight w:val="none"/>
          <w:lang w:val="en-US" w:eastAsia="zh-CN" w:bidi="ar-SA"/>
        </w:rPr>
        <w:t xml:space="preserve"> 12 </w:t>
      </w:r>
      <w:r>
        <w:rPr>
          <w:rFonts w:hint="eastAsia" w:ascii="宋体" w:hAnsi="宋体" w:eastAsia="宋体" w:cs="宋体"/>
          <w:b w:val="0"/>
          <w:bCs w:val="0"/>
          <w:snapToGrid w:val="0"/>
          <w:color w:val="auto"/>
          <w:spacing w:val="0"/>
          <w:kern w:val="0"/>
          <w:sz w:val="21"/>
          <w:szCs w:val="24"/>
          <w:highlight w:val="none"/>
          <w:lang w:val="en-US" w:eastAsia="zh-CN" w:bidi="ar-SA"/>
        </w:rPr>
        <w:t>日</w:t>
      </w:r>
      <w:r>
        <w:rPr>
          <w:rFonts w:ascii="宋体" w:hAnsi="宋体"/>
          <w:bCs w:val="0"/>
          <w:snapToGrid w:val="0"/>
          <w:color w:val="auto"/>
          <w:kern w:val="0"/>
          <w:highlight w:val="none"/>
        </w:rPr>
        <w:br w:type="page"/>
      </w:r>
      <w:bookmarkStart w:id="75" w:name="_Toc41899999"/>
    </w:p>
    <w:p>
      <w:pPr>
        <w:pStyle w:val="3"/>
        <w:keepNext/>
        <w:keepLines/>
        <w:pageBreakBefore w:val="0"/>
        <w:widowControl w:val="0"/>
        <w:kinsoku/>
        <w:wordWrap/>
        <w:overflowPunct/>
        <w:topLinePunct w:val="0"/>
        <w:autoSpaceDE/>
        <w:autoSpaceDN/>
        <w:bidi w:val="0"/>
        <w:adjustRightInd/>
        <w:snapToGrid/>
        <w:spacing w:before="0" w:after="0" w:line="480" w:lineRule="exact"/>
        <w:jc w:val="left"/>
        <w:textAlignment w:val="auto"/>
        <w:rPr>
          <w:rFonts w:ascii="宋体" w:hAnsi="宋体"/>
          <w:bCs w:val="0"/>
          <w:snapToGrid w:val="0"/>
          <w:color w:val="auto"/>
          <w:kern w:val="0"/>
          <w:highlight w:val="none"/>
        </w:rPr>
      </w:pPr>
      <w:r>
        <w:rPr>
          <w:rFonts w:ascii="宋体" w:hAnsi="宋体"/>
          <w:snapToGrid w:val="0"/>
          <w:color w:val="auto"/>
          <w:kern w:val="0"/>
          <w:highlight w:val="none"/>
        </w:rPr>
        <w:t>第二章  投标人须知</w:t>
      </w:r>
      <w:bookmarkEnd w:id="71"/>
      <w:bookmarkEnd w:id="72"/>
      <w:bookmarkEnd w:id="73"/>
      <w:bookmarkEnd w:id="74"/>
      <w:bookmarkEnd w:id="75"/>
      <w:bookmarkStart w:id="76" w:name="_Toc224103316"/>
      <w:bookmarkStart w:id="77" w:name="_Toc287607745"/>
      <w:bookmarkStart w:id="78" w:name="_Toc277082551"/>
      <w:bookmarkStart w:id="79" w:name="_Toc430530433"/>
      <w:bookmarkStart w:id="80" w:name="_Toc287620684"/>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color w:val="auto"/>
          <w:highlight w:val="none"/>
        </w:rPr>
      </w:pPr>
      <w:bookmarkStart w:id="81" w:name="_Toc14182"/>
      <w:bookmarkStart w:id="82" w:name="_Toc509218708"/>
      <w:bookmarkStart w:id="83" w:name="_Toc41900000"/>
      <w:r>
        <w:rPr>
          <w:rFonts w:hint="eastAsia" w:ascii="宋体" w:hAnsi="宋体"/>
          <w:color w:val="auto"/>
          <w:highlight w:val="none"/>
        </w:rPr>
        <w:t>投标人须知前附表</w:t>
      </w:r>
      <w:bookmarkEnd w:id="76"/>
      <w:bookmarkEnd w:id="77"/>
      <w:bookmarkEnd w:id="78"/>
      <w:bookmarkEnd w:id="79"/>
      <w:bookmarkEnd w:id="80"/>
      <w:bookmarkEnd w:id="81"/>
      <w:bookmarkEnd w:id="82"/>
      <w:bookmarkEnd w:id="83"/>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57"/>
        <w:gridCol w:w="6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 款 号</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条款名称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snapToGrid w:val="0"/>
                <w:color w:val="auto"/>
                <w:kern w:val="0"/>
                <w:highlight w:val="none"/>
                <w:lang w:eastAsia="zh-CN"/>
              </w:rPr>
            </w:pPr>
            <w:r>
              <w:rPr>
                <w:rFonts w:hint="eastAsia" w:ascii="宋体" w:hAnsi="宋体" w:cs="宋体"/>
                <w:color w:val="auto"/>
                <w:kern w:val="0"/>
                <w:szCs w:val="21"/>
                <w:highlight w:val="none"/>
              </w:rPr>
              <w:t>名</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称：</w:t>
            </w:r>
            <w:r>
              <w:rPr>
                <w:rFonts w:hint="eastAsia" w:ascii="宋体" w:hAnsi="宋体" w:cs="宋体"/>
                <w:snapToGrid w:val="0"/>
                <w:color w:val="auto"/>
                <w:kern w:val="0"/>
                <w:highlight w:val="none"/>
                <w:lang w:eastAsia="zh-CN"/>
              </w:rPr>
              <w:t>重庆安居古城华夏文化旅游发展有限公司</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址：</w:t>
            </w:r>
            <w:r>
              <w:rPr>
                <w:rFonts w:hint="eastAsia" w:ascii="宋体" w:hAnsi="宋体" w:cs="宋体"/>
                <w:spacing w:val="19"/>
                <w:kern w:val="0"/>
                <w:szCs w:val="21"/>
                <w:lang w:eastAsia="zh-CN"/>
              </w:rPr>
              <w:t>重庆市铜梁区安居镇龙泉村一社</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snapToGrid w:val="0"/>
                <w:kern w:val="0"/>
                <w:szCs w:val="21"/>
                <w:highlight w:val="none"/>
                <w:lang w:eastAsia="zh-CN"/>
              </w:rPr>
              <w:t>谭老师</w:t>
            </w:r>
          </w:p>
          <w:p>
            <w:pPr>
              <w:keepNext w:val="0"/>
              <w:keepLines w:val="0"/>
              <w:pageBreakBefore w:val="0"/>
              <w:kinsoku/>
              <w:wordWrap/>
              <w:overflowPunct/>
              <w:topLinePunct w:val="0"/>
              <w:autoSpaceDE/>
              <w:autoSpaceDN/>
              <w:bidi w:val="0"/>
              <w:adjustRightInd/>
              <w:snapToGrid w:val="0"/>
              <w:spacing w:line="310" w:lineRule="exact"/>
              <w:ind w:left="420" w:leftChars="200" w:firstLine="0" w:firstLineChars="0"/>
              <w:textAlignment w:val="auto"/>
              <w:rPr>
                <w:rFonts w:ascii="宋体" w:hAnsi="宋体"/>
                <w:color w:val="auto"/>
                <w:kern w:val="0"/>
                <w:szCs w:val="21"/>
                <w:highlight w:val="none"/>
              </w:rPr>
            </w:pPr>
            <w:r>
              <w:rPr>
                <w:rFonts w:hint="eastAsia" w:ascii="宋体" w:hAnsi="宋体" w:cs="宋体"/>
                <w:color w:val="auto"/>
                <w:kern w:val="0"/>
                <w:szCs w:val="21"/>
                <w:highlight w:val="none"/>
              </w:rPr>
              <w:t>电</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话：</w:t>
            </w:r>
            <w:r>
              <w:rPr>
                <w:rFonts w:hint="eastAsia" w:ascii="宋体" w:hAnsi="宋体" w:cs="宋体"/>
                <w:kern w:val="0"/>
                <w:szCs w:val="21"/>
                <w:lang w:val="en-US" w:eastAsia="zh-CN"/>
              </w:rPr>
              <w:t>18996060363</w:t>
            </w:r>
            <w:r>
              <w:rPr>
                <w:rFonts w:hint="eastAsia" w:ascii="宋体" w:hAnsi="宋体" w:cs="宋体"/>
                <w:snapToGrid w:val="0"/>
                <w:color w:val="auto"/>
                <w:kern w:val="0"/>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color w:val="auto"/>
                <w:spacing w:val="0"/>
                <w:kern w:val="0"/>
                <w:szCs w:val="21"/>
                <w:highlight w:val="none"/>
                <w:lang w:eastAsia="zh-CN"/>
              </w:rPr>
            </w:pPr>
            <w:r>
              <w:rPr>
                <w:rFonts w:hint="eastAsia" w:ascii="宋体" w:hAnsi="宋体" w:cs="宋体"/>
                <w:color w:val="auto"/>
                <w:kern w:val="0"/>
                <w:szCs w:val="21"/>
                <w:highlight w:val="none"/>
              </w:rPr>
              <w:t>名</w:t>
            </w:r>
            <w:r>
              <w:rPr>
                <w:rFonts w:hint="eastAsia" w:ascii="宋体" w:hAnsi="宋体" w:cs="宋体"/>
                <w:color w:val="auto"/>
                <w:spacing w:val="0"/>
                <w:kern w:val="0"/>
                <w:szCs w:val="21"/>
                <w:highlight w:val="none"/>
              </w:rPr>
              <w:t xml:space="preserve"> 称：</w:t>
            </w:r>
            <w:r>
              <w:rPr>
                <w:rFonts w:hint="eastAsia" w:ascii="宋体" w:hAnsi="宋体" w:cs="宋体"/>
                <w:color w:val="auto"/>
                <w:spacing w:val="0"/>
                <w:kern w:val="0"/>
                <w:szCs w:val="21"/>
                <w:highlight w:val="none"/>
                <w:lang w:eastAsia="zh-CN"/>
              </w:rPr>
              <w:t>重庆望高工程项目管理有限公司</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snapToGrid w:val="0"/>
                <w:color w:val="auto"/>
                <w:spacing w:val="0"/>
                <w:szCs w:val="21"/>
                <w:highlight w:val="none"/>
              </w:rPr>
            </w:pPr>
            <w:r>
              <w:rPr>
                <w:rFonts w:hint="eastAsia" w:ascii="宋体" w:hAnsi="宋体" w:cs="宋体"/>
                <w:color w:val="auto"/>
                <w:spacing w:val="0"/>
                <w:kern w:val="0"/>
                <w:szCs w:val="21"/>
                <w:highlight w:val="none"/>
              </w:rPr>
              <w:t>地 址：</w:t>
            </w:r>
            <w:r>
              <w:rPr>
                <w:rFonts w:hint="eastAsia" w:ascii="宋体" w:hAnsi="宋体" w:cs="宋体"/>
                <w:snapToGrid w:val="0"/>
                <w:color w:val="auto"/>
                <w:spacing w:val="0"/>
                <w:kern w:val="0"/>
                <w:highlight w:val="none"/>
                <w:lang w:eastAsia="zh-CN"/>
              </w:rPr>
              <w:t>重庆市渝北区红锦大道611号23-2</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val="en-US" w:eastAsia="zh-CN"/>
              </w:rPr>
              <w:t>李老师</w:t>
            </w:r>
          </w:p>
          <w:p>
            <w:pPr>
              <w:keepNext w:val="0"/>
              <w:keepLines w:val="0"/>
              <w:pageBreakBefore w:val="0"/>
              <w:kinsoku/>
              <w:wordWrap/>
              <w:overflowPunct/>
              <w:topLinePunct w:val="0"/>
              <w:autoSpaceDE/>
              <w:autoSpaceDN/>
              <w:bidi w:val="0"/>
              <w:adjustRightInd/>
              <w:snapToGrid w:val="0"/>
              <w:spacing w:line="310" w:lineRule="exact"/>
              <w:ind w:left="420" w:leftChars="200" w:firstLine="0" w:firstLineChars="0"/>
              <w:textAlignment w:val="auto"/>
              <w:rPr>
                <w:rFonts w:ascii="宋体" w:hAnsi="宋体"/>
                <w:color w:val="auto"/>
                <w:kern w:val="0"/>
                <w:szCs w:val="21"/>
                <w:highlight w:val="none"/>
              </w:rPr>
            </w:pPr>
            <w:r>
              <w:rPr>
                <w:rFonts w:hint="eastAsia" w:ascii="宋体" w:hAnsi="宋体" w:cs="宋体"/>
                <w:color w:val="auto"/>
                <w:kern w:val="0"/>
                <w:szCs w:val="21"/>
                <w:highlight w:val="none"/>
              </w:rPr>
              <w:t>电 话：</w:t>
            </w:r>
            <w:r>
              <w:rPr>
                <w:rFonts w:hint="eastAsia" w:ascii="宋体" w:hAnsi="宋体" w:cs="宋体"/>
                <w:b w:val="0"/>
                <w:bCs w:val="0"/>
                <w:color w:val="auto"/>
                <w:spacing w:val="0"/>
                <w:kern w:val="0"/>
                <w:sz w:val="21"/>
                <w:szCs w:val="21"/>
                <w:highlight w:val="none"/>
                <w:lang w:val="en-US" w:eastAsia="zh-CN" w:bidi="ar-SA"/>
              </w:rPr>
              <w:t>15086781050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项目名称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kern w:val="0"/>
                <w:szCs w:val="21"/>
                <w:highlight w:val="none"/>
                <w:lang w:eastAsia="zh-CN"/>
              </w:rPr>
            </w:pPr>
            <w:r>
              <w:rPr>
                <w:rFonts w:hint="eastAsia" w:ascii="宋体" w:hAnsi="宋体" w:cs="宋体"/>
                <w:color w:val="auto"/>
                <w:spacing w:val="0"/>
                <w:kern w:val="0"/>
                <w:szCs w:val="21"/>
                <w:highlight w:val="none"/>
                <w:lang w:eastAsia="zh-CN"/>
              </w:rPr>
              <w:t>安居古城2023年迎春灯饰工程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kern w:val="0"/>
                <w:szCs w:val="21"/>
                <w:highlight w:val="none"/>
                <w:lang w:eastAsia="zh-CN"/>
              </w:rPr>
            </w:pPr>
            <w:r>
              <w:rPr>
                <w:rFonts w:hint="eastAsia" w:ascii="宋体" w:hAnsi="宋体" w:cs="宋体"/>
                <w:kern w:val="0"/>
                <w:sz w:val="21"/>
                <w:szCs w:val="21"/>
                <w:lang w:val="en-US" w:eastAsia="zh-CN" w:bidi="ar-SA"/>
              </w:rPr>
              <w:t>铜梁区安居镇</w:t>
            </w:r>
            <w:r>
              <w:rPr>
                <w:rFonts w:hint="eastAsia" w:ascii="宋体" w:hAnsi="宋体"/>
                <w:snapToGrid w:val="0"/>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1.1.6</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建设规模</w:t>
            </w:r>
          </w:p>
        </w:tc>
        <w:tc>
          <w:tcPr>
            <w:tcW w:w="6803" w:type="dxa"/>
            <w:vAlign w:val="center"/>
          </w:tcPr>
          <w:p>
            <w:pPr>
              <w:keepNext w:val="0"/>
              <w:keepLines w:val="0"/>
              <w:pageBreakBefore w:val="0"/>
              <w:tabs>
                <w:tab w:val="left" w:pos="3840"/>
                <w:tab w:val="left" w:pos="5300"/>
              </w:tabs>
              <w:kinsoku/>
              <w:wordWrap/>
              <w:overflowPunct/>
              <w:topLinePunct w:val="0"/>
              <w:autoSpaceDE/>
              <w:autoSpaceDN/>
              <w:bidi w:val="0"/>
              <w:adjustRightInd/>
              <w:snapToGrid w:val="0"/>
              <w:spacing w:line="310" w:lineRule="exact"/>
              <w:ind w:firstLine="420" w:firstLineChars="200"/>
              <w:textAlignment w:val="auto"/>
              <w:rPr>
                <w:rFonts w:ascii="宋体" w:hAnsi="宋体"/>
                <w:i/>
                <w:snapToGrid w:val="0"/>
                <w:color w:val="auto"/>
                <w:kern w:val="0"/>
                <w:szCs w:val="21"/>
                <w:highlight w:val="none"/>
              </w:rPr>
            </w:pPr>
            <w:r>
              <w:rPr>
                <w:rFonts w:hint="eastAsia" w:ascii="宋体" w:hAnsi="宋体"/>
                <w:snapToGrid w:val="0"/>
                <w:color w:val="auto"/>
                <w:kern w:val="0"/>
                <w:szCs w:val="21"/>
                <w:highlight w:val="none"/>
                <w:lang w:val="en-US" w:eastAsia="zh-CN"/>
              </w:rPr>
              <w:t xml:space="preserve"> </w:t>
            </w:r>
            <w:r>
              <w:rPr>
                <w:rFonts w:hint="eastAsia" w:ascii="宋体" w:hAnsi="宋体" w:cs="宋体"/>
                <w:kern w:val="0"/>
                <w:sz w:val="21"/>
                <w:szCs w:val="21"/>
                <w:lang w:val="en-US" w:eastAsia="zh-CN" w:bidi="ar-SA"/>
              </w:rPr>
              <w:t>建设内容包括铜梁区安居古城2023年迎春灯饰，电气安装等</w:t>
            </w:r>
            <w:r>
              <w:rPr>
                <w:rFonts w:hint="eastAsia" w:ascii="宋体" w:hAnsi="宋体" w:cs="宋体"/>
                <w:kern w:val="0"/>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资金来源</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 xml:space="preserve"> 业主自筹。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出资比例</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100%</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资金落实情况</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已落实</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1.3.1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803" w:type="dxa"/>
            <w:vAlign w:val="center"/>
          </w:tcPr>
          <w:p>
            <w:pPr>
              <w:keepNext w:val="0"/>
              <w:keepLines w:val="0"/>
              <w:pageBreakBefore w:val="0"/>
              <w:tabs>
                <w:tab w:val="left" w:pos="3840"/>
                <w:tab w:val="left" w:pos="5300"/>
              </w:tabs>
              <w:kinsoku/>
              <w:wordWrap/>
              <w:overflowPunct/>
              <w:topLinePunct w:val="0"/>
              <w:autoSpaceDE/>
              <w:autoSpaceDN/>
              <w:bidi w:val="0"/>
              <w:adjustRightInd/>
              <w:snapToGrid w:val="0"/>
              <w:spacing w:line="310" w:lineRule="exact"/>
              <w:ind w:firstLine="420" w:firstLineChars="200"/>
              <w:jc w:val="left"/>
              <w:textAlignment w:val="auto"/>
              <w:rPr>
                <w:color w:val="auto"/>
                <w:highlight w:val="none"/>
              </w:rPr>
            </w:pPr>
            <w:r>
              <w:rPr>
                <w:rFonts w:hint="eastAsia"/>
                <w:color w:val="auto"/>
                <w:highlight w:val="none"/>
                <w:lang w:eastAsia="zh-CN"/>
              </w:rPr>
              <w:t>具体以比选人发出的工程量清单为准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1.3.2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计划工期</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计划工期：</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lang w:eastAsia="zh-CN"/>
              </w:rPr>
              <w:t>日历天</w:t>
            </w:r>
            <w:r>
              <w:rPr>
                <w:rFonts w:hint="eastAsia" w:ascii="宋体" w:hAnsi="宋体" w:cs="宋体"/>
                <w:color w:val="auto"/>
                <w:highlight w:val="none"/>
              </w:rPr>
              <w:t>，</w:t>
            </w:r>
            <w:r>
              <w:rPr>
                <w:rFonts w:hint="eastAsia" w:ascii="宋体" w:hAnsi="宋体"/>
                <w:snapToGrid w:val="0"/>
                <w:color w:val="auto"/>
                <w:kern w:val="0"/>
                <w:szCs w:val="21"/>
                <w:highlight w:val="none"/>
                <w:lang w:eastAsia="zh-CN"/>
              </w:rPr>
              <w:t>缺陷责任期</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lang w:eastAsia="zh-CN"/>
              </w:rPr>
              <w:t>个月</w:t>
            </w:r>
            <w:r>
              <w:rPr>
                <w:rFonts w:hint="eastAsia" w:ascii="宋体" w:hAnsi="宋体"/>
                <w:snapToGrid w:val="0"/>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s="宋体"/>
                <w:color w:val="auto"/>
                <w:kern w:val="0"/>
                <w:szCs w:val="21"/>
                <w:highlight w:val="none"/>
              </w:rPr>
              <w:t>计划开工日期：以发包方和承包方签定的合同为准。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1.3.3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质量要求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符合国家有关施工质量验收规范和标准要求，达到合格标准</w:t>
            </w:r>
            <w:r>
              <w:rPr>
                <w:rFonts w:hint="eastAsia" w:ascii="宋体" w:hAnsi="宋体" w:cs="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r>
              <w:rPr>
                <w:rFonts w:ascii="宋体" w:hAnsi="宋体"/>
                <w:color w:val="auto"/>
                <w:kern w:val="0"/>
                <w:szCs w:val="21"/>
                <w:highlight w:val="none"/>
              </w:rPr>
              <w:t>1.4.1</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r>
              <w:rPr>
                <w:rFonts w:ascii="宋体" w:hAnsi="宋体"/>
                <w:color w:val="auto"/>
                <w:kern w:val="0"/>
                <w:szCs w:val="21"/>
                <w:highlight w:val="none"/>
              </w:rPr>
              <w:t>1.4.1</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bookmarkStart w:id="84" w:name="OLE_LINK1"/>
            <w:r>
              <w:rPr>
                <w:rFonts w:ascii="宋体" w:hAnsi="宋体"/>
                <w:color w:val="auto"/>
                <w:szCs w:val="21"/>
                <w:highlight w:val="none"/>
              </w:rPr>
              <w:t>本工程施工</w:t>
            </w:r>
            <w:r>
              <w:rPr>
                <w:rFonts w:hint="eastAsia" w:ascii="宋体" w:hAnsi="宋体"/>
                <w:color w:val="auto"/>
                <w:szCs w:val="21"/>
                <w:highlight w:val="none"/>
                <w:lang w:val="en-US" w:eastAsia="zh-CN"/>
              </w:rPr>
              <w:t>招标</w:t>
            </w:r>
            <w:r>
              <w:rPr>
                <w:rFonts w:ascii="宋体" w:hAnsi="宋体"/>
                <w:color w:val="auto"/>
                <w:szCs w:val="21"/>
                <w:highlight w:val="none"/>
              </w:rPr>
              <w:t>实行资格后审，投标人应</w:t>
            </w:r>
            <w:bookmarkStart w:id="85" w:name="一是"/>
            <w:bookmarkEnd w:id="85"/>
            <w:r>
              <w:rPr>
                <w:rFonts w:ascii="宋体" w:hAnsi="宋体"/>
                <w:color w:val="auto"/>
                <w:szCs w:val="21"/>
                <w:highlight w:val="none"/>
              </w:rPr>
              <w:t>具备以下资格条件：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本工程资质设置严格按照《建筑业企业资质管理规定》（住房城乡建设部第22号令）、《住房城乡建设部关于印发《建筑业企业资质标准》的通知》（建市﹝2014﹞159号文）、住房城乡建设部关于印发《建筑业企业资质管理规定和资质标准实施意见》的通知（建市﹝2015﹞20号）、《住房城</w:t>
            </w:r>
            <w:r>
              <w:rPr>
                <w:rFonts w:ascii="宋体" w:hAnsi="宋体"/>
                <w:color w:val="auto"/>
                <w:spacing w:val="2"/>
                <w:szCs w:val="21"/>
                <w:highlight w:val="none"/>
              </w:rPr>
              <w:t>乡建设部关于建筑业企业资质管理有关问题的</w:t>
            </w:r>
            <w:r>
              <w:rPr>
                <w:rFonts w:ascii="宋体" w:hAnsi="宋体"/>
                <w:color w:val="auto"/>
                <w:szCs w:val="21"/>
                <w:highlight w:val="none"/>
              </w:rPr>
              <w:t>通知》（建市﹝2015﹞154号）</w:t>
            </w:r>
            <w:r>
              <w:rPr>
                <w:rFonts w:hint="eastAsia" w:ascii="宋体" w:hAnsi="宋体"/>
                <w:color w:val="auto"/>
                <w:szCs w:val="21"/>
                <w:highlight w:val="none"/>
              </w:rPr>
              <w:t>、《住房城乡建设部关于取消建筑智能化等4个工程设计与施工资质有关事项的通知》（建市﹝2015﹞102号）、《住房城乡建设部关于简化建筑业企业资质标准部分指标的通知》（建市﹝2016﹞226号）</w:t>
            </w:r>
            <w:r>
              <w:rPr>
                <w:rFonts w:ascii="宋体" w:hAnsi="宋体"/>
                <w:color w:val="auto"/>
                <w:szCs w:val="21"/>
                <w:highlight w:val="none"/>
              </w:rPr>
              <w:t>等相关规定执行。</w:t>
            </w:r>
          </w:p>
          <w:bookmarkEnd w:id="84"/>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1.资质条件、营业执照及安全生产条件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snapToGrid w:val="0"/>
                <w:color w:val="auto"/>
                <w:kern w:val="0"/>
                <w:szCs w:val="21"/>
                <w:highlight w:val="none"/>
              </w:rPr>
              <w:t>建设行政主管部门颁发的</w:t>
            </w:r>
            <w:r>
              <w:rPr>
                <w:rFonts w:hint="eastAsia" w:ascii="宋体" w:hAnsi="宋体"/>
                <w:b/>
                <w:bCs/>
                <w:snapToGrid w:val="0"/>
                <w:color w:val="auto"/>
                <w:kern w:val="0"/>
                <w:szCs w:val="21"/>
                <w:highlight w:val="none"/>
                <w:u w:val="single"/>
                <w:lang w:eastAsia="zh-CN"/>
              </w:rPr>
              <w:t>市政公用工程施工总承包叁级</w:t>
            </w:r>
            <w:r>
              <w:rPr>
                <w:rFonts w:hint="eastAsia" w:ascii="宋体" w:hAnsi="宋体"/>
                <w:b w:val="0"/>
                <w:bCs w:val="0"/>
                <w:snapToGrid w:val="0"/>
                <w:color w:val="auto"/>
                <w:kern w:val="0"/>
                <w:szCs w:val="21"/>
                <w:highlight w:val="none"/>
                <w:u w:val="none"/>
                <w:lang w:eastAsia="zh-CN"/>
              </w:rPr>
              <w:t>或</w:t>
            </w:r>
            <w:r>
              <w:rPr>
                <w:rFonts w:hint="eastAsia" w:ascii="宋体" w:hAnsi="宋体"/>
                <w:b/>
                <w:bCs/>
                <w:snapToGrid w:val="0"/>
                <w:color w:val="auto"/>
                <w:kern w:val="0"/>
                <w:szCs w:val="21"/>
                <w:highlight w:val="none"/>
                <w:u w:val="single"/>
                <w:lang w:eastAsia="zh-CN"/>
              </w:rPr>
              <w:t>城市及道路照明工程专业承包叁级</w:t>
            </w:r>
            <w:r>
              <w:rPr>
                <w:rFonts w:hint="eastAsia" w:ascii="宋体" w:hAnsi="宋体"/>
                <w:snapToGrid w:val="0"/>
                <w:color w:val="auto"/>
                <w:kern w:val="0"/>
                <w:szCs w:val="21"/>
                <w:highlight w:val="none"/>
              </w:rPr>
              <w:t>及以</w:t>
            </w:r>
            <w:r>
              <w:rPr>
                <w:rFonts w:hint="eastAsia" w:ascii="宋体" w:hAnsi="宋体"/>
                <w:snapToGrid w:val="0"/>
                <w:color w:val="auto"/>
                <w:kern w:val="0"/>
                <w:szCs w:val="21"/>
                <w:highlight w:val="none"/>
                <w:u w:val="none"/>
              </w:rPr>
              <w:t>上</w:t>
            </w:r>
            <w:r>
              <w:rPr>
                <w:rFonts w:hint="eastAsia" w:ascii="宋体" w:hAnsi="宋体"/>
                <w:color w:val="auto"/>
                <w:szCs w:val="21"/>
                <w:highlight w:val="none"/>
                <w:u w:val="none"/>
              </w:rPr>
              <w:t>资质</w:t>
            </w:r>
            <w:r>
              <w:rPr>
                <w:rFonts w:ascii="宋体" w:hAnsi="宋体"/>
                <w:color w:val="auto"/>
                <w:szCs w:val="21"/>
                <w:highlight w:val="none"/>
                <w:u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w:t>
            </w:r>
            <w:r>
              <w:rPr>
                <w:rFonts w:hint="eastAsia" w:ascii="宋体" w:hAnsi="宋体"/>
                <w:color w:val="auto"/>
                <w:szCs w:val="21"/>
                <w:highlight w:val="none"/>
              </w:rPr>
              <w:t>有效的带二维码标识的资质证书</w:t>
            </w:r>
            <w:r>
              <w:rPr>
                <w:rFonts w:ascii="宋体" w:hAnsi="宋体"/>
                <w:color w:val="auto"/>
                <w:szCs w:val="21"/>
                <w:highlight w:val="none"/>
              </w:rPr>
              <w:t>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（2）具备有效的营业执照。</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提供有效的带二维码</w:t>
            </w:r>
            <w:r>
              <w:rPr>
                <w:rFonts w:hint="eastAsia" w:ascii="宋体" w:hAnsi="宋体"/>
                <w:color w:val="auto"/>
                <w:szCs w:val="21"/>
                <w:highlight w:val="none"/>
              </w:rPr>
              <w:t>标识</w:t>
            </w:r>
            <w:r>
              <w:rPr>
                <w:rFonts w:ascii="宋体" w:hAnsi="宋体"/>
                <w:color w:val="auto"/>
                <w:szCs w:val="21"/>
                <w:highlight w:val="none"/>
              </w:rPr>
              <w:t>的营业执照复印件。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负责人、拟担任该项目项目经理和专职安全生产管理人员（即“三类人员”）具备相应的由建设行政主管部门颁发的有效的安全生产考核合格证书</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投标人须在投标文件资格审查部分提供有效的安全生产许可证</w:t>
            </w:r>
            <w:r>
              <w:rPr>
                <w:rFonts w:ascii="宋体" w:hAnsi="宋体"/>
                <w:color w:val="auto"/>
                <w:szCs w:val="21"/>
                <w:highlight w:val="none"/>
              </w:rPr>
              <w:t>及“三类人员”安全生产考核合格证书复印件。</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color w:val="auto"/>
                <w:szCs w:val="21"/>
                <w:highlight w:val="none"/>
              </w:rPr>
            </w:pPr>
            <w:r>
              <w:rPr>
                <w:rFonts w:ascii="宋体" w:hAnsi="宋体"/>
                <w:b/>
                <w:color w:val="auto"/>
                <w:szCs w:val="21"/>
                <w:highlight w:val="none"/>
              </w:rPr>
              <w:t>2.投标截止日投标资格情况</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投标人自行承诺（</w:t>
            </w:r>
            <w:r>
              <w:rPr>
                <w:rFonts w:hint="eastAsia" w:ascii="宋体" w:hAnsi="宋体"/>
                <w:color w:val="auto"/>
                <w:szCs w:val="21"/>
                <w:highlight w:val="none"/>
                <w:lang w:val="en-US" w:eastAsia="zh-CN"/>
              </w:rPr>
              <w:t>格式见第八章投标文件格式</w:t>
            </w:r>
            <w:r>
              <w:rPr>
                <w:rFonts w:hint="eastAsia" w:ascii="宋体" w:hAnsi="宋体"/>
                <w:color w:val="auto"/>
                <w:szCs w:val="21"/>
                <w:highlight w:val="none"/>
              </w:rPr>
              <w:t>）不得存在下列情形之一：</w:t>
            </w:r>
          </w:p>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.项目经理资格要求</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olor w:val="auto"/>
                <w:szCs w:val="21"/>
                <w:highlight w:val="none"/>
                <w:lang w:eastAsia="zh-CN"/>
              </w:rPr>
            </w:pPr>
            <w:r>
              <w:rPr>
                <w:color w:val="auto"/>
                <w:szCs w:val="21"/>
                <w:highlight w:val="none"/>
              </w:rPr>
              <w:t>（</w:t>
            </w:r>
            <w:r>
              <w:rPr>
                <w:rFonts w:hint="eastAsia"/>
                <w:color w:val="auto"/>
                <w:szCs w:val="21"/>
                <w:highlight w:val="none"/>
              </w:rPr>
              <w:t>1</w:t>
            </w:r>
            <w:r>
              <w:rPr>
                <w:color w:val="auto"/>
                <w:szCs w:val="21"/>
                <w:highlight w:val="none"/>
              </w:rPr>
              <w:t>）</w:t>
            </w:r>
            <w:r>
              <w:rPr>
                <w:rFonts w:hint="eastAsia"/>
                <w:color w:val="auto"/>
                <w:szCs w:val="21"/>
                <w:highlight w:val="none"/>
              </w:rPr>
              <w:t>投标人拟派的</w:t>
            </w:r>
            <w:r>
              <w:rPr>
                <w:color w:val="auto"/>
                <w:szCs w:val="21"/>
                <w:highlight w:val="none"/>
              </w:rPr>
              <w:t>项目经理必须已在</w:t>
            </w:r>
            <w:r>
              <w:rPr>
                <w:rFonts w:hint="eastAsia"/>
                <w:color w:val="auto"/>
                <w:szCs w:val="21"/>
                <w:highlight w:val="none"/>
              </w:rPr>
              <w:t>投标人本</w:t>
            </w:r>
            <w:r>
              <w:rPr>
                <w:color w:val="auto"/>
                <w:szCs w:val="21"/>
                <w:highlight w:val="none"/>
              </w:rPr>
              <w:t>单位注册并应具有</w:t>
            </w:r>
            <w:r>
              <w:rPr>
                <w:rFonts w:hint="eastAsia" w:ascii="宋体" w:hAnsi="宋体"/>
                <w:b/>
                <w:snapToGrid w:val="0"/>
                <w:color w:val="auto"/>
                <w:kern w:val="0"/>
                <w:szCs w:val="21"/>
                <w:highlight w:val="none"/>
                <w:u w:val="single"/>
                <w:lang w:val="en-US" w:eastAsia="zh-CN"/>
              </w:rPr>
              <w:t>市政公用工程</w:t>
            </w:r>
            <w:r>
              <w:rPr>
                <w:rFonts w:hint="eastAsia"/>
                <w:b w:val="0"/>
                <w:bCs w:val="0"/>
                <w:color w:val="auto"/>
                <w:szCs w:val="21"/>
                <w:highlight w:val="none"/>
              </w:rPr>
              <w:t>专业</w:t>
            </w:r>
            <w:r>
              <w:rPr>
                <w:rFonts w:hint="eastAsia"/>
                <w:b/>
                <w:bCs/>
                <w:color w:val="auto"/>
                <w:szCs w:val="21"/>
                <w:highlight w:val="none"/>
                <w:u w:val="single"/>
              </w:rPr>
              <w:t xml:space="preserve"> </w:t>
            </w:r>
            <w:r>
              <w:rPr>
                <w:rFonts w:hint="eastAsia" w:ascii="宋体" w:hAnsi="宋体"/>
                <w:b/>
                <w:bCs/>
                <w:color w:val="auto"/>
                <w:highlight w:val="none"/>
                <w:u w:val="single"/>
              </w:rPr>
              <w:t>贰</w:t>
            </w:r>
            <w:r>
              <w:rPr>
                <w:rFonts w:hint="eastAsia"/>
                <w:b/>
                <w:bCs/>
                <w:color w:val="auto"/>
                <w:szCs w:val="21"/>
                <w:highlight w:val="none"/>
                <w:u w:val="single"/>
              </w:rPr>
              <w:t xml:space="preserve"> </w:t>
            </w:r>
            <w:r>
              <w:rPr>
                <w:b w:val="0"/>
                <w:bCs w:val="0"/>
                <w:color w:val="auto"/>
                <w:szCs w:val="21"/>
                <w:highlight w:val="none"/>
              </w:rPr>
              <w:t>级</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人拟派的项目经理须做出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和未被禁止参与投标的承诺（自行承诺拟派项目经理未被重庆市住房和城乡建设主管部门暂停在渝承揽新业务。若被暂停在渝承揽新业务但仍参加投标，将被否决投标；已取得中标候选人资格或中标资格的，比选人有权取消其中标候选人资格或中标资格；给比选人造成损失的，投标人依法承担违约赔偿责任）。未提供上述承诺或承诺内容不符合要求的，由评标委员会作否决投标处理。拟派项目经理中标后不得随意更换。</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szCs w:val="21"/>
                <w:highlight w:val="none"/>
                <w:lang w:val="en-US" w:eastAsia="zh-CN"/>
              </w:rPr>
              <w:t>投标人须在投标文件资格审查部分提供有效的拟派项目经理建造师注册证、身份证、投标人为其缴纳的养老保险证明材料复印件，拟派项目经理到岗履职和未被禁止参与投标的承诺原件（格式见第八章投标文件格式）。</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.其他要求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应具有</w:t>
            </w:r>
            <w:r>
              <w:rPr>
                <w:rFonts w:hint="eastAsia" w:ascii="宋体" w:hAnsi="宋体"/>
                <w:b/>
                <w:snapToGrid w:val="0"/>
                <w:color w:val="auto"/>
                <w:kern w:val="0"/>
                <w:szCs w:val="21"/>
                <w:highlight w:val="none"/>
                <w:u w:val="single"/>
              </w:rPr>
              <w:t>工程</w:t>
            </w:r>
            <w:r>
              <w:rPr>
                <w:rFonts w:hint="eastAsia" w:ascii="宋体" w:hAnsi="宋体"/>
                <w:b/>
                <w:snapToGrid w:val="0"/>
                <w:color w:val="auto"/>
                <w:kern w:val="0"/>
                <w:szCs w:val="21"/>
                <w:highlight w:val="none"/>
                <w:u w:val="none"/>
              </w:rPr>
              <w:t>类</w:t>
            </w:r>
            <w:r>
              <w:rPr>
                <w:rFonts w:hint="eastAsia" w:ascii="宋体" w:hAnsi="宋体"/>
                <w:b/>
                <w:snapToGrid w:val="0"/>
                <w:color w:val="auto"/>
                <w:kern w:val="0"/>
                <w:szCs w:val="21"/>
                <w:highlight w:val="none"/>
                <w:u w:val="single"/>
              </w:rPr>
              <w:t>中</w:t>
            </w:r>
            <w:r>
              <w:rPr>
                <w:rFonts w:ascii="宋体" w:hAnsi="宋体"/>
                <w:color w:val="auto"/>
                <w:szCs w:val="21"/>
                <w:highlight w:val="none"/>
              </w:rPr>
              <w:t>级及以上职称；</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pacing w:val="-24"/>
                <w:kern w:val="0"/>
                <w:szCs w:val="21"/>
                <w:highlight w:val="none"/>
              </w:rPr>
            </w:pPr>
            <w:r>
              <w:rPr>
                <w:rFonts w:hint="eastAsia" w:ascii="宋体" w:hAnsi="宋体"/>
                <w:color w:val="auto"/>
                <w:kern w:val="0"/>
                <w:szCs w:val="21"/>
                <w:highlight w:val="none"/>
              </w:rPr>
              <w:t>投标人须在投标文件资格审查部分附拟派技术负责人身份证、职称证及投标人本单位为其缴纳的养老保险证明材料复印件。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取消其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造成损失的，投标人依法承担违约赔偿责任。</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olor w:val="auto"/>
                <w:szCs w:val="21"/>
                <w:highlight w:val="none"/>
              </w:rPr>
              <w:t>投标人须在投标文件资格审查部分提供承诺（</w:t>
            </w:r>
            <w:r>
              <w:rPr>
                <w:rFonts w:hint="eastAsia" w:ascii="宋体" w:hAnsi="宋体"/>
                <w:color w:val="auto"/>
                <w:szCs w:val="21"/>
                <w:highlight w:val="none"/>
                <w:lang w:eastAsia="zh-CN"/>
              </w:rPr>
              <w:t>格式见第八章投标文件</w:t>
            </w:r>
            <w:r>
              <w:rPr>
                <w:rFonts w:hint="eastAsia" w:ascii="宋体" w:hAnsi="宋体" w:cs="Times New Roman"/>
                <w:color w:val="auto"/>
                <w:szCs w:val="21"/>
                <w:highlight w:val="none"/>
                <w:lang w:eastAsia="zh-CN"/>
              </w:rPr>
              <w:t>格式</w:t>
            </w:r>
            <w:r>
              <w:rPr>
                <w:rFonts w:hint="eastAsia" w:ascii="宋体" w:hAnsi="宋体" w:cs="Times New Roman"/>
                <w:color w:val="auto"/>
                <w:szCs w:val="21"/>
                <w:highlight w:val="non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（3）委托代理人：</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本项目委托代理人必须为投标人本单位职工。投标人须在投标文件资格审查部分提供投标人本单位为该委托代理人缴纳的养老保险证明复印件。否则，将由评标委员会作否决投标处理。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17" w:firstLineChars="198"/>
              <w:textAlignment w:val="auto"/>
              <w:rPr>
                <w:rFonts w:ascii="宋体" w:hAnsi="宋体" w:cs="宋体"/>
                <w:b/>
                <w:color w:val="auto"/>
                <w:szCs w:val="21"/>
                <w:highlight w:val="none"/>
              </w:rPr>
            </w:pPr>
            <w:r>
              <w:rPr>
                <w:rFonts w:hint="eastAsia" w:ascii="宋体" w:hAnsi="宋体" w:cs="宋体"/>
                <w:b/>
                <w:color w:val="auto"/>
                <w:szCs w:val="21"/>
                <w:highlight w:val="none"/>
              </w:rPr>
              <w:t>特别说明：</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1）上述1～</w:t>
            </w:r>
            <w:r>
              <w:rPr>
                <w:rFonts w:hint="eastAsia" w:ascii="宋体" w:hAnsi="宋体" w:cs="宋体"/>
                <w:color w:val="auto"/>
                <w:szCs w:val="21"/>
                <w:highlight w:val="none"/>
              </w:rPr>
              <w:t>4条所需提交的相关证明材料复印件均应加盖投标单位法人章并装入投标文件资格审查部分中。投标时投标人的委托代理人须随身携带以上所有复印件的原件，在递交投标文件时一次性递交，不得补交，原件袋必须密封。评标委员会审查时必须对有关证明和证件的原件核查，若经审查复印件与原件不一致，或未提交原件的，则投标文件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以上1</w:t>
            </w:r>
            <w:r>
              <w:rPr>
                <w:rFonts w:hint="eastAsia" w:ascii="宋体" w:hAnsi="宋体" w:cs="宋体"/>
                <w:color w:val="auto"/>
                <w:szCs w:val="21"/>
                <w:highlight w:val="none"/>
              </w:rPr>
              <w:t>～</w:t>
            </w:r>
            <w:r>
              <w:rPr>
                <w:rFonts w:hint="eastAsia" w:ascii="宋体" w:hAnsi="宋体" w:cs="宋体"/>
                <w:color w:val="auto"/>
                <w:kern w:val="0"/>
                <w:szCs w:val="21"/>
                <w:highlight w:val="none"/>
              </w:rPr>
              <w:t>4条，有一条不满足，则投标文件由评标委员会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比选人</w:t>
            </w:r>
            <w:r>
              <w:rPr>
                <w:rFonts w:ascii="宋体" w:hAnsi="宋体" w:cs="宋体"/>
                <w:color w:val="auto"/>
                <w:szCs w:val="21"/>
                <w:highlight w:val="none"/>
              </w:rPr>
              <w:t>在投标有效期内均有权对投标人提供的以上资料（</w:t>
            </w:r>
            <w:r>
              <w:rPr>
                <w:rFonts w:hint="eastAsia" w:ascii="宋体" w:hAnsi="宋体" w:cs="宋体"/>
                <w:color w:val="auto"/>
                <w:szCs w:val="21"/>
                <w:highlight w:val="none"/>
              </w:rPr>
              <w:t>证明和证件的原件</w:t>
            </w:r>
            <w:r>
              <w:rPr>
                <w:rFonts w:ascii="宋体" w:hAnsi="宋体" w:cs="宋体"/>
                <w:color w:val="auto"/>
                <w:szCs w:val="21"/>
                <w:highlight w:val="none"/>
              </w:rPr>
              <w:t>或复印件）进行核实，</w:t>
            </w:r>
            <w:r>
              <w:rPr>
                <w:rFonts w:hint="eastAsia" w:ascii="宋体" w:hAnsi="宋体" w:cs="宋体"/>
                <w:color w:val="auto"/>
                <w:szCs w:val="21"/>
                <w:highlight w:val="none"/>
              </w:rPr>
              <w:t>若发现资料存在虚假不实，按照相关法律法规处理，其投标保证金不予退还，投标人承担因此造成的相关责任并赔偿相应损失。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color w:val="auto"/>
                <w:kern w:val="0"/>
                <w:szCs w:val="21"/>
                <w:highlight w:val="none"/>
              </w:rPr>
            </w:pPr>
            <w:r>
              <w:rPr>
                <w:rFonts w:ascii="宋体" w:hAnsi="宋体"/>
                <w:bCs/>
                <w:color w:val="auto"/>
                <w:kern w:val="0"/>
                <w:szCs w:val="21"/>
                <w:highlight w:val="none"/>
              </w:rPr>
              <w:t>①社会单位提供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snapToGrid w:val="0"/>
                <w:color w:val="auto"/>
                <w:kern w:val="0"/>
                <w:szCs w:val="21"/>
                <w:highlight w:val="none"/>
              </w:rPr>
            </w:pPr>
            <w:r>
              <w:rPr>
                <w:rFonts w:ascii="宋体" w:hAnsi="宋体"/>
                <w:bCs/>
                <w:color w:val="auto"/>
                <w:kern w:val="0"/>
                <w:szCs w:val="21"/>
                <w:highlight w:val="none"/>
              </w:rPr>
              <w:t>②</w:t>
            </w:r>
            <w:r>
              <w:rPr>
                <w:rFonts w:ascii="宋体" w:hAnsi="宋体"/>
                <w:bCs/>
                <w:snapToGrid w:val="0"/>
                <w:color w:val="auto"/>
                <w:kern w:val="0"/>
                <w:szCs w:val="21"/>
                <w:highlight w:val="none"/>
              </w:rPr>
              <w:t>投标文件中对</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的要求为</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w:t>
            </w:r>
            <w:r>
              <w:rPr>
                <w:rFonts w:hint="eastAsia" w:ascii="宋体" w:hAnsi="宋体"/>
                <w:bCs/>
                <w:snapToGrid w:val="0"/>
                <w:color w:val="auto"/>
                <w:kern w:val="0"/>
                <w:szCs w:val="21"/>
                <w:highlight w:val="none"/>
              </w:rPr>
              <w:t>和委托代理人</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证明期限为</w:t>
            </w:r>
            <w:r>
              <w:rPr>
                <w:rFonts w:hint="eastAsia" w:ascii="宋体" w:hAnsi="宋体"/>
                <w:bCs/>
                <w:snapToGrid w:val="0"/>
                <w:color w:val="auto"/>
                <w:kern w:val="0"/>
                <w:szCs w:val="21"/>
                <w:highlight w:val="none"/>
                <w:u w:val="single"/>
                <w:lang w:eastAsia="zh-CN"/>
              </w:rPr>
              <w:t>202</w:t>
            </w:r>
            <w:r>
              <w:rPr>
                <w:rFonts w:hint="eastAsia" w:ascii="宋体" w:hAnsi="宋体"/>
                <w:bCs/>
                <w:snapToGrid w:val="0"/>
                <w:color w:val="auto"/>
                <w:kern w:val="0"/>
                <w:szCs w:val="21"/>
                <w:highlight w:val="none"/>
                <w:u w:val="single"/>
                <w:lang w:val="en-US" w:eastAsia="zh-CN"/>
              </w:rPr>
              <w:t>2</w:t>
            </w:r>
            <w:r>
              <w:rPr>
                <w:rFonts w:hint="eastAsia" w:ascii="宋体" w:hAnsi="宋体"/>
                <w:bCs/>
                <w:snapToGrid w:val="0"/>
                <w:color w:val="auto"/>
                <w:kern w:val="0"/>
                <w:szCs w:val="21"/>
                <w:highlight w:val="none"/>
                <w:u w:val="single"/>
                <w:lang w:eastAsia="zh-CN"/>
              </w:rPr>
              <w:t>年</w:t>
            </w:r>
            <w:r>
              <w:rPr>
                <w:rFonts w:hint="eastAsia" w:ascii="宋体" w:hAnsi="宋体"/>
                <w:bCs/>
                <w:snapToGrid w:val="0"/>
                <w:color w:val="auto"/>
                <w:kern w:val="0"/>
                <w:szCs w:val="21"/>
                <w:highlight w:val="none"/>
                <w:u w:val="single"/>
                <w:lang w:val="en-US" w:eastAsia="zh-CN"/>
              </w:rPr>
              <w:t>7</w:t>
            </w:r>
            <w:r>
              <w:rPr>
                <w:rFonts w:hint="eastAsia" w:ascii="宋体" w:hAnsi="宋体"/>
                <w:bCs/>
                <w:snapToGrid w:val="0"/>
                <w:color w:val="auto"/>
                <w:kern w:val="0"/>
                <w:szCs w:val="21"/>
                <w:highlight w:val="none"/>
                <w:u w:val="single"/>
                <w:lang w:eastAsia="zh-CN"/>
              </w:rPr>
              <w:t>月至 202</w:t>
            </w:r>
            <w:r>
              <w:rPr>
                <w:rFonts w:hint="eastAsia" w:ascii="宋体" w:hAnsi="宋体"/>
                <w:bCs/>
                <w:snapToGrid w:val="0"/>
                <w:color w:val="auto"/>
                <w:kern w:val="0"/>
                <w:szCs w:val="21"/>
                <w:highlight w:val="none"/>
                <w:u w:val="single"/>
                <w:lang w:val="en-US" w:eastAsia="zh-CN"/>
              </w:rPr>
              <w:t>2</w:t>
            </w:r>
            <w:r>
              <w:rPr>
                <w:rFonts w:hint="eastAsia" w:ascii="宋体" w:hAnsi="宋体"/>
                <w:bCs/>
                <w:snapToGrid w:val="0"/>
                <w:color w:val="auto"/>
                <w:kern w:val="0"/>
                <w:szCs w:val="21"/>
                <w:highlight w:val="none"/>
                <w:u w:val="single"/>
                <w:lang w:eastAsia="zh-CN"/>
              </w:rPr>
              <w:t>年</w:t>
            </w:r>
            <w:r>
              <w:rPr>
                <w:rFonts w:hint="eastAsia" w:ascii="宋体" w:hAnsi="宋体"/>
                <w:bCs/>
                <w:snapToGrid w:val="0"/>
                <w:color w:val="auto"/>
                <w:kern w:val="0"/>
                <w:szCs w:val="21"/>
                <w:highlight w:val="none"/>
                <w:u w:val="single"/>
                <w:lang w:val="en-US" w:eastAsia="zh-CN"/>
              </w:rPr>
              <w:t>12</w:t>
            </w:r>
            <w:r>
              <w:rPr>
                <w:rFonts w:hint="eastAsia" w:ascii="宋体" w:hAnsi="宋体"/>
                <w:bCs/>
                <w:snapToGrid w:val="0"/>
                <w:color w:val="auto"/>
                <w:kern w:val="0"/>
                <w:szCs w:val="21"/>
                <w:highlight w:val="none"/>
                <w:u w:val="single"/>
                <w:lang w:eastAsia="zh-CN"/>
              </w:rPr>
              <w:t>月</w:t>
            </w:r>
            <w:r>
              <w:rPr>
                <w:rFonts w:ascii="宋体" w:hAnsi="宋体"/>
                <w:bCs/>
                <w:snapToGrid w:val="0"/>
                <w:color w:val="auto"/>
                <w:kern w:val="0"/>
                <w:szCs w:val="21"/>
                <w:highlight w:val="none"/>
              </w:rPr>
              <w:t>的</w:t>
            </w:r>
            <w:r>
              <w:rPr>
                <w:rFonts w:ascii="宋体" w:hAnsi="宋体"/>
                <w:bCs/>
                <w:color w:val="auto"/>
                <w:szCs w:val="21"/>
                <w:highlight w:val="none"/>
              </w:rPr>
              <w:t>连续</w:t>
            </w:r>
            <w:r>
              <w:rPr>
                <w:rFonts w:hint="eastAsia" w:ascii="宋体" w:hAnsi="宋体"/>
                <w:bCs/>
                <w:color w:val="auto"/>
                <w:szCs w:val="21"/>
                <w:highlight w:val="none"/>
              </w:rPr>
              <w:t>养老保险。</w:t>
            </w:r>
            <w:r>
              <w:rPr>
                <w:rFonts w:hint="eastAsia" w:ascii="宋体" w:hAnsi="宋体"/>
                <w:bCs/>
                <w:snapToGrid w:val="0"/>
                <w:color w:val="auto"/>
                <w:kern w:val="0"/>
                <w:szCs w:val="21"/>
                <w:highlight w:val="none"/>
              </w:rPr>
              <w:t>养老保险证明原件必须加盖社保部门公章</w:t>
            </w:r>
            <w:r>
              <w:rPr>
                <w:rFonts w:hint="eastAsia" w:ascii="宋体" w:hAnsi="宋体"/>
                <w:bCs/>
                <w:snapToGrid w:val="0"/>
                <w:color w:val="auto"/>
                <w:kern w:val="0"/>
                <w:szCs w:val="21"/>
                <w:highlight w:val="none"/>
                <w:lang w:eastAsia="zh-CN"/>
              </w:rPr>
              <w:t>，提供养老保险参保证明</w:t>
            </w:r>
            <w:r>
              <w:rPr>
                <w:rFonts w:ascii="宋体" w:hAnsi="宋体"/>
                <w:bCs/>
                <w:snapToGrid w:val="0"/>
                <w:color w:val="auto"/>
                <w:kern w:val="0"/>
                <w:szCs w:val="21"/>
                <w:highlight w:val="none"/>
              </w:rPr>
              <w:t>。为确保对所有投标人的公开、公平、公正，投标人如果提供网上打印的</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证明材料含有电子章且提供了该地区政府或人社局发布的《关于推行参保人员社保证明电子化的通知》相关材料佐证（可不要求为原件，但必须网上能查询文件属实），可视为原件，不需加盖社保</w:t>
            </w:r>
            <w:r>
              <w:rPr>
                <w:rFonts w:hint="eastAsia" w:ascii="宋体" w:hAnsi="宋体"/>
                <w:bCs/>
                <w:snapToGrid w:val="0"/>
                <w:color w:val="auto"/>
                <w:kern w:val="0"/>
                <w:szCs w:val="21"/>
                <w:highlight w:val="none"/>
              </w:rPr>
              <w:t>部门公章</w:t>
            </w:r>
            <w:r>
              <w:rPr>
                <w:rFonts w:ascii="宋体" w:hAnsi="宋体"/>
                <w:bCs/>
                <w:snapToGrid w:val="0"/>
                <w:color w:val="auto"/>
                <w:kern w:val="0"/>
                <w:szCs w:val="21"/>
                <w:highlight w:val="none"/>
              </w:rPr>
              <w:t>，投标有效，否则</w:t>
            </w:r>
            <w:r>
              <w:rPr>
                <w:rFonts w:hint="eastAsia" w:ascii="宋体" w:hAnsi="宋体"/>
                <w:bCs/>
                <w:snapToGrid w:val="0"/>
                <w:color w:val="auto"/>
                <w:kern w:val="0"/>
                <w:szCs w:val="21"/>
                <w:highlight w:val="none"/>
              </w:rPr>
              <w:t>由评标委员会作否决投标</w:t>
            </w:r>
            <w:r>
              <w:rPr>
                <w:rFonts w:ascii="宋体" w:hAnsi="宋体"/>
                <w:bCs/>
                <w:snapToGrid w:val="0"/>
                <w:color w:val="auto"/>
                <w:kern w:val="0"/>
                <w:szCs w:val="21"/>
                <w:highlight w:val="none"/>
              </w:rPr>
              <w:t>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1.4.2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是否接受联合体投标</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不接受</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1.9.1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踏勘现场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不组织</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1.10.1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投标预备会</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不召开</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分包</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不允许</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2.1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的其他材料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比选人</w:t>
            </w:r>
            <w:r>
              <w:rPr>
                <w:rFonts w:ascii="宋体" w:hAnsi="宋体"/>
                <w:color w:val="auto"/>
                <w:szCs w:val="21"/>
                <w:highlight w:val="none"/>
              </w:rPr>
              <w:t>发出的答疑及补遗书</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557"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投标人在收到</w:t>
            </w:r>
            <w:r>
              <w:rPr>
                <w:rFonts w:hint="eastAsia" w:ascii="宋体" w:hAnsi="宋体"/>
                <w:color w:val="auto"/>
                <w:kern w:val="0"/>
                <w:szCs w:val="21"/>
                <w:highlight w:val="none"/>
                <w:lang w:eastAsia="zh-CN"/>
              </w:rPr>
              <w:t>比选文件</w:t>
            </w:r>
            <w:r>
              <w:rPr>
                <w:rFonts w:ascii="宋体" w:hAnsi="宋体"/>
                <w:color w:val="auto"/>
                <w:kern w:val="0"/>
                <w:szCs w:val="21"/>
                <w:highlight w:val="none"/>
              </w:rPr>
              <w:t>后，应仔细检查</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的所有内容，如有残缺或文字表述不清，图纸尺寸标注不明以及存在错、碰、漏、缺、概念模糊和有可能出现歧义或理解上的偏差的内容等应</w:t>
            </w:r>
            <w:r>
              <w:rPr>
                <w:rFonts w:hint="eastAsia" w:ascii="宋体" w:hAnsi="宋体" w:cs="宋体"/>
                <w:color w:val="auto"/>
                <w:szCs w:val="21"/>
                <w:highlight w:val="none"/>
              </w:rPr>
              <w:t>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13</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kern w:val="0"/>
                <w:szCs w:val="21"/>
              </w:rPr>
              <w:t>前</w:t>
            </w:r>
            <w:r>
              <w:rPr>
                <w:rFonts w:ascii="宋体" w:hAnsi="宋体"/>
                <w:szCs w:val="21"/>
                <w:highlight w:val="none"/>
              </w:rPr>
              <w:t>向比选人</w:t>
            </w:r>
            <w:r>
              <w:rPr>
                <w:rFonts w:hint="eastAsia" w:ascii="宋体" w:hAnsi="宋体"/>
                <w:szCs w:val="21"/>
                <w:highlight w:val="none"/>
              </w:rPr>
              <w:t>提出书面质疑，过期不再受理</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09" w:type="dxa"/>
            <w:vMerge w:val="restart"/>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2.2.2</w:t>
            </w:r>
          </w:p>
        </w:tc>
        <w:tc>
          <w:tcPr>
            <w:tcW w:w="1557"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答疑的截止时间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snapToGrid w:val="0"/>
                <w:color w:val="auto"/>
                <w:kern w:val="0"/>
                <w:szCs w:val="21"/>
                <w:highlight w:val="none"/>
              </w:rPr>
            </w:pPr>
            <w:r>
              <w:rPr>
                <w:rFonts w:hint="eastAsia" w:ascii="宋体" w:hAnsi="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none"/>
                <w:lang w:val="en-US" w:eastAsia="zh-CN"/>
              </w:rPr>
              <w:t xml:space="preserve">  </w:t>
            </w:r>
            <w:r>
              <w:rPr>
                <w:rFonts w:hint="eastAsia" w:ascii="宋体" w:hAnsi="宋体" w:cs="宋体"/>
                <w:snapToGrid w:val="0"/>
                <w:color w:val="auto"/>
                <w:kern w:val="0"/>
                <w:szCs w:val="21"/>
                <w:highlight w:val="none"/>
                <w:u w:val="single"/>
              </w:rPr>
              <w:t>202</w:t>
            </w:r>
            <w:r>
              <w:rPr>
                <w:rFonts w:hint="eastAsia" w:ascii="宋体" w:hAnsi="宋体" w:cs="宋体"/>
                <w:snapToGrid w:val="0"/>
                <w:color w:val="auto"/>
                <w:kern w:val="0"/>
                <w:szCs w:val="21"/>
                <w:highlight w:val="none"/>
                <w:u w:val="single"/>
                <w:lang w:val="en-US" w:eastAsia="zh-CN"/>
              </w:rPr>
              <w:t>3</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1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13 </w:t>
            </w:r>
            <w:r>
              <w:rPr>
                <w:rFonts w:hint="eastAsia" w:ascii="宋体" w:hAnsi="宋体" w:cs="宋体"/>
                <w:snapToGrid w:val="0"/>
                <w:color w:val="auto"/>
                <w:kern w:val="0"/>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w:t>
            </w:r>
            <w:r>
              <w:rPr>
                <w:rFonts w:hint="eastAsia" w:ascii="宋体" w:hAnsi="宋体" w:cs="宋体"/>
                <w:color w:val="auto"/>
                <w:szCs w:val="21"/>
                <w:highlight w:val="none"/>
              </w:rPr>
              <w:t>分前；</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将在</w:t>
            </w:r>
            <w:r>
              <w:rPr>
                <w:rFonts w:hint="default" w:ascii="宋体" w:hAnsi="宋体" w:cs="宋体"/>
                <w:snapToGrid w:val="0"/>
                <w:color w:val="auto"/>
                <w:kern w:val="0"/>
                <w:szCs w:val="21"/>
                <w:highlight w:val="none"/>
                <w:u w:val="single"/>
                <w:lang w:val="en-US" w:eastAsia="zh-CN"/>
              </w:rPr>
              <w:t>重庆安居古城网站（http://www.anjugc.cn/index.htm）</w:t>
            </w:r>
            <w:r>
              <w:rPr>
                <w:rFonts w:hint="eastAsia" w:ascii="宋体" w:hAnsi="宋体" w:cs="宋体"/>
                <w:snapToGrid w:val="0"/>
                <w:color w:val="auto"/>
                <w:kern w:val="0"/>
                <w:szCs w:val="21"/>
                <w:highlight w:val="none"/>
                <w:u w:val="single"/>
                <w:lang w:eastAsia="zh-CN"/>
              </w:rPr>
              <w:t>上</w:t>
            </w:r>
            <w:r>
              <w:rPr>
                <w:rFonts w:hint="eastAsia" w:ascii="宋体" w:hAnsi="宋体" w:cs="宋体"/>
                <w:color w:val="auto"/>
                <w:szCs w:val="21"/>
                <w:highlight w:val="none"/>
              </w:rPr>
              <w:t>发布答疑及补遗书。</w:t>
            </w:r>
            <w:r>
              <w:rPr>
                <w:rFonts w:hint="eastAsia" w:ascii="宋体" w:hAnsi="宋体" w:cs="宋体"/>
                <w:color w:val="auto"/>
                <w:kern w:val="0"/>
                <w:szCs w:val="21"/>
                <w:highlight w:val="none"/>
              </w:rPr>
              <w:t>不论投标人</w:t>
            </w:r>
            <w:r>
              <w:rPr>
                <w:rFonts w:hint="eastAsia" w:ascii="宋体" w:hAnsi="宋体" w:cs="宋体"/>
                <w:color w:val="auto"/>
                <w:kern w:val="0"/>
                <w:szCs w:val="21"/>
                <w:highlight w:val="none"/>
                <w:lang w:eastAsia="zh-CN"/>
              </w:rPr>
              <w:t>查阅与否</w:t>
            </w:r>
            <w:r>
              <w:rPr>
                <w:rFonts w:hint="eastAsia" w:ascii="宋体" w:hAnsi="宋体" w:cs="宋体"/>
                <w:color w:val="auto"/>
                <w:kern w:val="0"/>
                <w:szCs w:val="21"/>
                <w:highlight w:val="none"/>
              </w:rPr>
              <w:t>，均视为投标人收悉</w:t>
            </w:r>
            <w:r>
              <w:rPr>
                <w:rFonts w:hint="eastAsia" w:ascii="宋体" w:hAnsi="宋体" w:cs="宋体"/>
                <w:color w:val="auto"/>
                <w:kern w:val="0"/>
                <w:szCs w:val="21"/>
                <w:highlight w:val="none"/>
                <w:lang w:eastAsia="zh-CN"/>
              </w:rPr>
              <w:t>发布</w:t>
            </w:r>
            <w:r>
              <w:rPr>
                <w:rFonts w:hint="eastAsia" w:ascii="宋体" w:hAnsi="宋体" w:cs="宋体"/>
                <w:color w:val="auto"/>
                <w:kern w:val="0"/>
                <w:szCs w:val="21"/>
                <w:highlight w:val="none"/>
              </w:rPr>
              <w:t>的所有资料并全部知晓有关</w:t>
            </w:r>
            <w:r>
              <w:rPr>
                <w:rFonts w:hint="eastAsia" w:ascii="宋体" w:hAnsi="宋体" w:cs="宋体"/>
                <w:color w:val="auto"/>
                <w:kern w:val="0"/>
                <w:szCs w:val="21"/>
                <w:highlight w:val="none"/>
                <w:lang w:val="en-US" w:eastAsia="zh-CN"/>
              </w:rPr>
              <w:t>比选</w:t>
            </w:r>
            <w:r>
              <w:rPr>
                <w:rFonts w:hint="eastAsia" w:ascii="宋体" w:hAnsi="宋体" w:cs="宋体"/>
                <w:color w:val="auto"/>
                <w:kern w:val="0"/>
                <w:szCs w:val="21"/>
                <w:highlight w:val="none"/>
              </w:rPr>
              <w:t>过程和事宜，由此产生的一切后果由投标人自负。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09" w:type="dxa"/>
            <w:vMerge w:val="continue"/>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snapToGrid w:val="0"/>
                <w:color w:val="auto"/>
                <w:kern w:val="0"/>
                <w:szCs w:val="21"/>
                <w:highlight w:val="none"/>
              </w:rPr>
              <w:t>投标截止时间：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ascii="宋体" w:hAnsi="宋体"/>
                <w:color w:val="auto"/>
                <w:szCs w:val="21"/>
                <w:highlight w:val="none"/>
              </w:rPr>
              <w:t>年</w:t>
            </w:r>
            <w:r>
              <w:rPr>
                <w:rFonts w:hint="eastAsia" w:ascii="宋体" w:hAnsi="宋体"/>
                <w:color w:val="auto"/>
                <w:szCs w:val="21"/>
                <w:highlight w:val="none"/>
                <w:u w:val="single"/>
                <w:lang w:val="en-US" w:eastAsia="zh-CN"/>
              </w:rPr>
              <w:t xml:space="preserve"> 1 </w:t>
            </w:r>
            <w:r>
              <w:rPr>
                <w:rFonts w:ascii="宋体" w:hAnsi="宋体"/>
                <w:color w:val="auto"/>
                <w:szCs w:val="21"/>
                <w:highlight w:val="none"/>
              </w:rPr>
              <w:t>月</w:t>
            </w:r>
            <w:r>
              <w:rPr>
                <w:rFonts w:hint="eastAsia" w:ascii="宋体" w:hAnsi="宋体"/>
                <w:color w:val="auto"/>
                <w:szCs w:val="21"/>
                <w:highlight w:val="none"/>
                <w:u w:val="single"/>
                <w:lang w:val="en-US" w:eastAsia="zh-CN"/>
              </w:rPr>
              <w:t xml:space="preserve"> 16 </w:t>
            </w:r>
            <w:r>
              <w:rPr>
                <w:rFonts w:ascii="宋体" w:hAnsi="宋体"/>
                <w:color w:val="auto"/>
                <w:szCs w:val="21"/>
                <w:highlight w:val="none"/>
              </w:rPr>
              <w:t>日</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分</w:t>
            </w:r>
            <w:r>
              <w:rPr>
                <w:rFonts w:ascii="宋体" w:hAnsi="宋体"/>
                <w:color w:val="auto"/>
                <w:szCs w:val="21"/>
                <w:highlight w:val="none"/>
              </w:rPr>
              <w:t>（北京时间）</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构成投标文件的其他材料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ascii="宋体" w:hAnsi="宋体"/>
                <w:color w:val="auto"/>
                <w:szCs w:val="21"/>
                <w:highlight w:val="none"/>
              </w:rPr>
              <w:t>投标人的书面澄清、说明和补正（但不得改变投标文件的实质性内容）</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投标报价</w:t>
            </w:r>
          </w:p>
        </w:tc>
        <w:tc>
          <w:tcPr>
            <w:tcW w:w="6803" w:type="dxa"/>
            <w:vAlign w:val="center"/>
          </w:tcPr>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本工程采用工程量清单计价。工程量清单应采用综合单价计价。</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left="6" w:leftChars="3" w:firstLine="420" w:firstLineChars="200"/>
              <w:textAlignment w:val="auto"/>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投标人应认真填写工程量清单中所列的本合同各工程子目的单价或总价。投标人没有填入单价或总价的工程子目，</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将认为该子目的价款已包括在工程量清单其他子目的单价和总价中。投标人必须按</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工程量清单一致。</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投标函中的总报价必须与已标价工程量清单总报价一致。否则由评标委员会作否决投标处理。</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（1）在合同实施期间，单价和总价按专用合同条款第11条的规定可调整。</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依据国家税法规定选择：一般计税法</w:t>
            </w:r>
            <w:r>
              <w:rPr>
                <w:rFonts w:hint="eastAsia" w:ascii="宋体" w:hAnsi="宋体" w:cs="宋体"/>
                <w:color w:val="auto"/>
                <w:szCs w:val="21"/>
                <w:highlight w:val="none"/>
                <w:lang w:eastAsia="zh-CN"/>
              </w:rPr>
              <w:t>。</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6.如发现工程量清单中的数量与图纸中数量不一致，应于本须知第2.2.1项中规定的时间前书面通知比选人核查，除非比选人以修改的形式予以更正，否则，应以工程量清单中列出的数量为准。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在工程量清单中所列出的价格（包括暂列金额、暂估价等），投标人不得修改。</w:t>
            </w:r>
          </w:p>
          <w:p>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w:t>
            </w:r>
            <w:r>
              <w:rPr>
                <w:rFonts w:hint="eastAsia" w:ascii="宋体" w:hAnsi="宋体" w:cs="宋体"/>
                <w:color w:val="auto"/>
                <w:szCs w:val="21"/>
                <w:highlight w:val="none"/>
              </w:rPr>
              <w:t>本工程</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将设置投标总报价最高限价，投标总报价最高限价为</w:t>
            </w:r>
            <w:r>
              <w:rPr>
                <w:rFonts w:hint="eastAsia" w:ascii="宋体" w:hAnsi="宋体" w:cs="宋体"/>
                <w:b/>
                <w:bCs/>
                <w:color w:val="auto"/>
                <w:szCs w:val="21"/>
                <w:highlight w:val="none"/>
                <w:u w:val="single"/>
                <w:lang w:val="en-US" w:eastAsia="zh-CN"/>
              </w:rPr>
              <w:t>247890.13</w:t>
            </w:r>
            <w:r>
              <w:rPr>
                <w:rFonts w:hint="eastAsia" w:ascii="宋体" w:hAnsi="宋体" w:cs="宋体"/>
                <w:b/>
                <w:bCs/>
                <w:color w:val="auto"/>
                <w:szCs w:val="21"/>
                <w:highlight w:val="none"/>
              </w:rPr>
              <w:t>元（大写：</w:t>
            </w:r>
            <w:r>
              <w:rPr>
                <w:rFonts w:hint="eastAsia" w:ascii="宋体" w:hAnsi="宋体" w:cs="宋体"/>
                <w:b/>
                <w:bCs/>
                <w:color w:val="auto"/>
                <w:szCs w:val="21"/>
                <w:highlight w:val="none"/>
                <w:u w:val="single"/>
                <w:lang w:val="en-US" w:eastAsia="zh-CN"/>
              </w:rPr>
              <w:t>贰拾肆万柒仟捌佰玖拾元壹角叁分）</w:t>
            </w:r>
            <w:r>
              <w:rPr>
                <w:rFonts w:hint="eastAsia" w:ascii="宋体" w:hAnsi="宋体" w:cs="宋体"/>
                <w:color w:val="auto"/>
                <w:szCs w:val="21"/>
                <w:highlight w:val="none"/>
              </w:rPr>
              <w:t>，</w:t>
            </w:r>
            <w:r>
              <w:rPr>
                <w:rFonts w:hint="eastAsia" w:ascii="宋体" w:hAnsi="宋体" w:cs="宋体"/>
                <w:color w:val="auto"/>
                <w:kern w:val="0"/>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本工程</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将设置全部工程量清单综合单价最高限价，投标人的每项清单综合单价报价不得超过每项清单综合单价最高限价。</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在合同签订前将对中标人已标价工程量清单进行清标。若发现中标人的工程量清单综合单价报价超过</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时给出的工程量清单综合单价最高限价的，在工程结算时</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将以发出的工程量清单综合单价最高限价为基础，按照中标人的中标总报价与本工程的总价最高限价的下浮比例进行同比例下调，中标人必须无条件接受，否则按中标人违约处理。投标人须在投标文件</w:t>
            </w:r>
            <w:r>
              <w:rPr>
                <w:rFonts w:hint="eastAsia" w:ascii="宋体" w:hAnsi="宋体" w:cs="宋体"/>
                <w:color w:val="auto"/>
                <w:szCs w:val="21"/>
                <w:highlight w:val="none"/>
                <w:lang w:val="en-US" w:eastAsia="zh-CN"/>
              </w:rPr>
              <w:t>资格审查部分</w:t>
            </w:r>
            <w:r>
              <w:rPr>
                <w:rFonts w:hint="eastAsia" w:ascii="宋体" w:hAnsi="宋体" w:cs="宋体"/>
                <w:color w:val="auto"/>
                <w:szCs w:val="21"/>
                <w:highlight w:val="none"/>
              </w:rPr>
              <w:t>提供承诺函（</w:t>
            </w:r>
            <w:r>
              <w:rPr>
                <w:rFonts w:hint="eastAsia" w:ascii="宋体" w:hAnsi="宋体"/>
                <w:color w:val="auto"/>
                <w:szCs w:val="21"/>
                <w:highlight w:val="none"/>
                <w:lang w:eastAsia="zh-CN"/>
              </w:rPr>
              <w:t>格式见第八章投标文件格式</w:t>
            </w:r>
            <w:r>
              <w:rPr>
                <w:rFonts w:hint="eastAsia" w:ascii="宋体" w:hAnsi="宋体" w:cs="宋体"/>
                <w:color w:val="auto"/>
                <w:szCs w:val="21"/>
                <w:highlight w:val="none"/>
              </w:rPr>
              <w:t>），承诺函包括以下内容：</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中规定工程量清单不允许修改的内容不得修改。</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pPr>
              <w:pStyle w:val="2"/>
              <w:keepNext w:val="0"/>
              <w:keepLines w:val="0"/>
              <w:pageBreakBefore w:val="0"/>
              <w:kinsoku/>
              <w:wordWrap/>
              <w:overflowPunct/>
              <w:topLinePunct w:val="0"/>
              <w:autoSpaceDE/>
              <w:autoSpaceDN/>
              <w:bidi w:val="0"/>
              <w:adjustRightInd/>
              <w:spacing w:after="0"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.安全文明施工费：</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pPr>
              <w:pStyle w:val="246"/>
              <w:keepNext w:val="0"/>
              <w:keepLines w:val="0"/>
              <w:pageBreakBefore w:val="0"/>
              <w:kinsoku/>
              <w:wordWrap/>
              <w:overflowPunct/>
              <w:topLinePunct w:val="0"/>
              <w:autoSpaceDE/>
              <w:autoSpaceDN/>
              <w:bidi w:val="0"/>
              <w:adjustRightInd/>
              <w:spacing w:line="320" w:lineRule="exact"/>
              <w:ind w:firstLineChars="200"/>
              <w:textAlignment w:val="auto"/>
              <w:rPr>
                <w:color w:val="auto"/>
                <w:sz w:val="21"/>
                <w:szCs w:val="21"/>
                <w:highlight w:val="none"/>
              </w:rPr>
            </w:pPr>
            <w:r>
              <w:rPr>
                <w:rFonts w:hint="eastAsia"/>
                <w:color w:val="auto"/>
                <w:sz w:val="21"/>
                <w:szCs w:val="21"/>
                <w:highlight w:val="none"/>
                <w:lang w:val="en-US" w:eastAsia="zh-CN"/>
              </w:rPr>
              <w:t>9</w:t>
            </w:r>
            <w:r>
              <w:rPr>
                <w:color w:val="auto"/>
                <w:sz w:val="21"/>
                <w:szCs w:val="21"/>
                <w:highlight w:val="none"/>
              </w:rPr>
              <w:t>.2本工程安全文明施工费由</w:t>
            </w:r>
            <w:r>
              <w:rPr>
                <w:rFonts w:hint="eastAsia"/>
                <w:color w:val="auto"/>
                <w:sz w:val="21"/>
                <w:szCs w:val="21"/>
                <w:highlight w:val="none"/>
                <w:lang w:eastAsia="zh-CN"/>
              </w:rPr>
              <w:t>比选人</w:t>
            </w:r>
            <w:r>
              <w:rPr>
                <w:color w:val="auto"/>
                <w:sz w:val="21"/>
                <w:szCs w:val="21"/>
                <w:highlight w:val="none"/>
              </w:rPr>
              <w:t>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的相关规定和费用标准单列计算。《投标函》及工程量清单报价中的安全文明施工费必须按照</w:t>
            </w:r>
            <w:r>
              <w:rPr>
                <w:rFonts w:hint="eastAsia"/>
                <w:color w:val="auto"/>
                <w:sz w:val="21"/>
                <w:szCs w:val="21"/>
                <w:highlight w:val="none"/>
                <w:lang w:eastAsia="zh-CN"/>
              </w:rPr>
              <w:t>比选人</w:t>
            </w:r>
            <w:r>
              <w:rPr>
                <w:color w:val="auto"/>
                <w:sz w:val="21"/>
                <w:szCs w:val="21"/>
                <w:highlight w:val="none"/>
              </w:rPr>
              <w:t>给出的暂定金额填报，否则视为对</w:t>
            </w:r>
            <w:r>
              <w:rPr>
                <w:rFonts w:hint="eastAsia"/>
                <w:color w:val="auto"/>
                <w:sz w:val="21"/>
                <w:szCs w:val="21"/>
                <w:highlight w:val="none"/>
                <w:lang w:eastAsia="zh-CN"/>
              </w:rPr>
              <w:t>比选文件</w:t>
            </w:r>
            <w:r>
              <w:rPr>
                <w:color w:val="auto"/>
                <w:sz w:val="21"/>
                <w:szCs w:val="21"/>
                <w:highlight w:val="none"/>
              </w:rPr>
              <w:t>不作实质性响应，其投标文件</w:t>
            </w:r>
            <w:r>
              <w:rPr>
                <w:rFonts w:hint="eastAsia"/>
                <w:color w:val="auto"/>
                <w:sz w:val="21"/>
                <w:szCs w:val="21"/>
                <w:highlight w:val="none"/>
              </w:rPr>
              <w:t>由评标委员会</w:t>
            </w:r>
            <w:r>
              <w:rPr>
                <w:color w:val="auto"/>
                <w:sz w:val="21"/>
                <w:szCs w:val="21"/>
                <w:highlight w:val="none"/>
              </w:rPr>
              <w:t>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w:t>
            </w:r>
            <w:r>
              <w:rPr>
                <w:rFonts w:hint="eastAsia" w:ascii="宋体" w:hAnsi="宋体"/>
                <w:color w:val="auto"/>
                <w:szCs w:val="21"/>
                <w:highlight w:val="none"/>
              </w:rPr>
              <w:t>本工程所需材料（含设备）价格由投标人参照重庆市建设工程造价管理总站发布的《重庆工程造价信息》或工程造价管理机构发布的工程造价信息（造价信息引用时限为</w:t>
            </w:r>
            <w:r>
              <w:rPr>
                <w:rFonts w:hint="eastAsia" w:ascii="宋体" w:hAnsi="宋体"/>
                <w:color w:val="auto"/>
                <w:szCs w:val="21"/>
                <w:highlight w:val="none"/>
                <w:lang w:eastAsia="zh-CN"/>
              </w:rPr>
              <w:t>比选</w:t>
            </w:r>
            <w:r>
              <w:rPr>
                <w:rFonts w:hint="eastAsia" w:ascii="宋体" w:hAnsi="宋体"/>
                <w:color w:val="auto"/>
                <w:szCs w:val="21"/>
                <w:highlight w:val="none"/>
              </w:rPr>
              <w:t>公告发布日期前一期），并结合市场行情及自身实力进行自主报价</w:t>
            </w:r>
            <w:r>
              <w:rPr>
                <w:rFonts w:hint="eastAsia" w:ascii="宋体" w:hAnsi="宋体" w:cs="宋体"/>
                <w:color w:val="auto"/>
                <w:szCs w:val="21"/>
                <w:highlight w:val="none"/>
              </w:rPr>
              <w:t>。</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w:t>
            </w:r>
          </w:p>
          <w:p>
            <w:pPr>
              <w:pStyle w:val="56"/>
              <w:ind w:left="0" w:leftChars="0" w:firstLine="420" w:firstLineChars="200"/>
              <w:rPr>
                <w:color w:val="auto"/>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pPr>
              <w:pStyle w:val="56"/>
              <w:keepNext w:val="0"/>
              <w:keepLines w:val="0"/>
              <w:pageBreakBefore w:val="0"/>
              <w:kinsoku/>
              <w:wordWrap/>
              <w:overflowPunct/>
              <w:topLinePunct w:val="0"/>
              <w:autoSpaceDE/>
              <w:autoSpaceDN/>
              <w:bidi w:val="0"/>
              <w:adjustRightInd/>
              <w:spacing w:line="310" w:lineRule="exact"/>
              <w:ind w:left="0" w:leftChars="0" w:firstLine="420" w:firstLineChars="200"/>
              <w:textAlignment w:val="auto"/>
              <w:rPr>
                <w:color w:val="auto"/>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投标有效期</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u w:val="single"/>
              </w:rPr>
              <w:t>90</w:t>
            </w:r>
            <w:r>
              <w:rPr>
                <w:rFonts w:ascii="宋体" w:hAnsi="宋体"/>
                <w:color w:val="auto"/>
                <w:szCs w:val="21"/>
                <w:highlight w:val="none"/>
              </w:rPr>
              <w:t>日历天（从提交投标文件截止日起计算）</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ind w:firstLine="210" w:firstLineChars="1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投标保证金</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投标</w:t>
            </w:r>
            <w:r>
              <w:rPr>
                <w:rFonts w:hint="eastAsia" w:ascii="宋体" w:hAnsi="宋体"/>
                <w:color w:val="auto"/>
                <w:highlight w:val="none"/>
              </w:rPr>
              <w:t>保证金的金额：</w:t>
            </w:r>
            <w:r>
              <w:rPr>
                <w:rFonts w:hint="eastAsia" w:ascii="宋体" w:hAnsi="宋体"/>
                <w:color w:val="auto"/>
                <w:highlight w:val="none"/>
                <w:u w:val="single"/>
              </w:rPr>
              <w:t>￥</w:t>
            </w:r>
            <w:r>
              <w:rPr>
                <w:rFonts w:hint="eastAsia" w:ascii="宋体" w:hAnsi="宋体"/>
                <w:color w:val="auto"/>
                <w:highlight w:val="none"/>
                <w:u w:val="single"/>
                <w:lang w:val="en-US" w:eastAsia="zh-CN"/>
              </w:rPr>
              <w:t>4900</w:t>
            </w:r>
            <w:r>
              <w:rPr>
                <w:rFonts w:hint="eastAsia" w:ascii="宋体" w:hAnsi="宋体"/>
                <w:color w:val="auto"/>
                <w:highlight w:val="none"/>
                <w:u w:val="single"/>
              </w:rPr>
              <w:t>元</w:t>
            </w:r>
            <w:r>
              <w:rPr>
                <w:rFonts w:hint="eastAsia" w:ascii="宋体" w:hAnsi="宋体"/>
                <w:color w:val="auto"/>
                <w:highlight w:val="none"/>
              </w:rPr>
              <w:t>（大写：</w:t>
            </w:r>
            <w:r>
              <w:rPr>
                <w:rFonts w:hint="eastAsia" w:ascii="宋体" w:hAnsi="宋体"/>
                <w:color w:val="auto"/>
                <w:highlight w:val="none"/>
                <w:u w:val="single"/>
                <w:lang w:val="en-US" w:eastAsia="zh-CN"/>
              </w:rPr>
              <w:t>肆仟玖佰元整</w:t>
            </w:r>
            <w:r>
              <w:rPr>
                <w:rFonts w:hint="eastAsia" w:ascii="宋体" w:hAnsi="宋体"/>
                <w:color w:val="auto"/>
                <w:highlight w:val="none"/>
              </w:rPr>
              <w:t>）</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注：建议投标保证金用信封封装，并在信封上面写明</w:t>
            </w:r>
            <w:r>
              <w:rPr>
                <w:rFonts w:hint="eastAsia" w:ascii="宋体" w:hAnsi="宋体"/>
                <w:color w:val="auto"/>
                <w:highlight w:val="none"/>
                <w:lang w:eastAsia="zh-CN"/>
              </w:rPr>
              <w:t>投标</w:t>
            </w:r>
            <w:r>
              <w:rPr>
                <w:rFonts w:hint="eastAsia" w:ascii="宋体" w:hAnsi="宋体"/>
                <w:color w:val="auto"/>
                <w:highlight w:val="none"/>
              </w:rPr>
              <w:t>人名称及所投项目名称。</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投标</w:t>
            </w:r>
            <w:r>
              <w:rPr>
                <w:rFonts w:hint="eastAsia" w:ascii="宋体" w:hAnsi="宋体"/>
                <w:color w:val="auto"/>
                <w:highlight w:val="none"/>
              </w:rPr>
              <w:t>保证金的缴纳时间、形式：现场缴纳现金，由比选人清点。</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3、第一中标候选人之外的</w:t>
            </w:r>
            <w:r>
              <w:rPr>
                <w:rFonts w:hint="eastAsia" w:ascii="宋体" w:hAnsi="宋体"/>
                <w:color w:val="auto"/>
                <w:highlight w:val="none"/>
                <w:lang w:eastAsia="zh-CN"/>
              </w:rPr>
              <w:t>投标</w:t>
            </w:r>
            <w:r>
              <w:rPr>
                <w:rFonts w:hint="eastAsia" w:ascii="宋体" w:hAnsi="宋体"/>
                <w:color w:val="auto"/>
                <w:highlight w:val="none"/>
              </w:rPr>
              <w:t>人交纳的投标保证金，评标结束后当场退还。</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MingLiU"/>
                <w:color w:val="auto"/>
                <w:kern w:val="0"/>
                <w:szCs w:val="21"/>
                <w:highlight w:val="none"/>
              </w:rPr>
            </w:pPr>
            <w:r>
              <w:rPr>
                <w:rFonts w:hint="eastAsia" w:ascii="宋体" w:hAnsi="宋体"/>
                <w:color w:val="auto"/>
                <w:highlight w:val="none"/>
              </w:rPr>
              <w:t>4、第一中标候选人交纳的</w:t>
            </w:r>
            <w:r>
              <w:rPr>
                <w:rFonts w:hint="eastAsia" w:ascii="宋体" w:hAnsi="宋体"/>
                <w:color w:val="auto"/>
                <w:highlight w:val="none"/>
                <w:lang w:eastAsia="zh-CN"/>
              </w:rPr>
              <w:t>投标</w:t>
            </w:r>
            <w:r>
              <w:rPr>
                <w:rFonts w:hint="eastAsia" w:ascii="宋体" w:hAnsi="宋体"/>
                <w:color w:val="auto"/>
                <w:highlight w:val="none"/>
              </w:rPr>
              <w:t>保证金在签订</w:t>
            </w:r>
            <w:r>
              <w:rPr>
                <w:rFonts w:hint="eastAsia" w:ascii="宋体" w:hAnsi="宋体"/>
                <w:color w:val="auto"/>
                <w:highlight w:val="none"/>
                <w:lang w:val="en-US" w:eastAsia="zh-CN"/>
              </w:rPr>
              <w:t>本项目施工</w:t>
            </w:r>
            <w:r>
              <w:rPr>
                <w:rFonts w:hint="eastAsia" w:ascii="宋体" w:hAnsi="宋体"/>
                <w:color w:val="auto"/>
                <w:highlight w:val="none"/>
              </w:rPr>
              <w:t>合同后退还。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5.1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r>
              <w:rPr>
                <w:rFonts w:ascii="宋体" w:hAnsi="宋体"/>
                <w:color w:val="auto"/>
                <w:kern w:val="0"/>
                <w:szCs w:val="21"/>
                <w:highlight w:val="none"/>
              </w:rPr>
              <w:t>资格审查资料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本须知第1.4.1项和第3.5.1项至3.5.</w:t>
            </w:r>
            <w:r>
              <w:rPr>
                <w:rFonts w:hint="eastAsia" w:ascii="宋体" w:hAnsi="宋体"/>
                <w:color w:val="auto"/>
                <w:kern w:val="0"/>
                <w:szCs w:val="21"/>
                <w:highlight w:val="none"/>
              </w:rPr>
              <w:t>3</w:t>
            </w:r>
            <w:r>
              <w:rPr>
                <w:rFonts w:ascii="宋体" w:hAnsi="宋体"/>
                <w:color w:val="auto"/>
                <w:kern w:val="0"/>
                <w:szCs w:val="21"/>
                <w:highlight w:val="none"/>
              </w:rPr>
              <w:t>项规定提供的资料</w:t>
            </w:r>
            <w:r>
              <w:rPr>
                <w:rFonts w:hint="eastAsia" w:ascii="宋体" w:hAnsi="宋体"/>
                <w:color w:val="auto"/>
                <w:kern w:val="0"/>
                <w:szCs w:val="21"/>
                <w:highlight w:val="none"/>
              </w:rPr>
              <w:t>须</w:t>
            </w:r>
            <w:r>
              <w:rPr>
                <w:rFonts w:ascii="宋体" w:hAnsi="宋体"/>
                <w:color w:val="auto"/>
                <w:kern w:val="0"/>
                <w:szCs w:val="21"/>
                <w:highlight w:val="none"/>
              </w:rPr>
              <w:t>在</w:t>
            </w:r>
            <w:r>
              <w:rPr>
                <w:rFonts w:hint="eastAsia" w:ascii="宋体" w:hAnsi="宋体"/>
                <w:color w:val="auto"/>
                <w:kern w:val="0"/>
                <w:szCs w:val="21"/>
                <w:highlight w:val="none"/>
              </w:rPr>
              <w:t>递交投标文件时</w:t>
            </w:r>
            <w:r>
              <w:rPr>
                <w:rFonts w:ascii="宋体" w:hAnsi="宋体"/>
                <w:color w:val="auto"/>
                <w:kern w:val="0"/>
                <w:szCs w:val="21"/>
                <w:highlight w:val="none"/>
              </w:rPr>
              <w:t>一次性递交原件。评标委员会审查时必须对有关证明和证件的原件核查。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3.6</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是否允许递交</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备选投标方案</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不允许</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09" w:type="dxa"/>
            <w:vAlign w:val="center"/>
          </w:tcPr>
          <w:p>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3.7.1</w:t>
            </w:r>
          </w:p>
        </w:tc>
        <w:tc>
          <w:tcPr>
            <w:tcW w:w="1557" w:type="dxa"/>
            <w:vAlign w:val="center"/>
          </w:tcPr>
          <w:p>
            <w:pPr>
              <w:snapToGrid w:val="0"/>
              <w:spacing w:after="93" w:afterLines="30"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投标文件格式要求</w:t>
            </w:r>
          </w:p>
        </w:tc>
        <w:tc>
          <w:tcPr>
            <w:tcW w:w="6803" w:type="dxa"/>
            <w:vAlign w:val="center"/>
          </w:tcPr>
          <w:p>
            <w:pPr>
              <w:snapToGrid w:val="0"/>
              <w:spacing w:line="400" w:lineRule="exact"/>
              <w:ind w:firstLine="420" w:firstLineChars="200"/>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签字盖章要求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w:t>
            </w:r>
            <w:r>
              <w:rPr>
                <w:rFonts w:hint="eastAsia" w:ascii="宋体" w:hAnsi="宋体"/>
                <w:color w:val="auto"/>
                <w:szCs w:val="21"/>
                <w:highlight w:val="none"/>
                <w:lang w:eastAsia="zh-CN"/>
              </w:rPr>
              <w:t>比选文件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比选文件</w:t>
            </w:r>
            <w:r>
              <w:rPr>
                <w:rFonts w:hint="eastAsia" w:ascii="宋体" w:hAnsi="宋体"/>
                <w:color w:val="auto"/>
                <w:szCs w:val="21"/>
                <w:highlight w:val="none"/>
              </w:rPr>
              <w:t>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装订要求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1、本工程应将投标函部分、商务部分、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投标函部分的装订要求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应按照第八章规定格式装订成册，并应编制目录。</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应按照第八章规定格式装订成册，并应编制目录</w:t>
            </w:r>
            <w:r>
              <w:rPr>
                <w:rFonts w:ascii="宋体" w:hAnsi="宋体"/>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）商务部分的装订要求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应按照第八章规定格式装订成册，并应编制目录</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投标文件袋使用“投标函部分”袋、“商务部分”袋、“</w:t>
            </w:r>
            <w:r>
              <w:rPr>
                <w:rFonts w:hint="eastAsia" w:ascii="宋体" w:hAnsi="宋体"/>
                <w:color w:val="auto"/>
                <w:szCs w:val="21"/>
                <w:highlight w:val="none"/>
              </w:rPr>
              <w:t>资格审查部分</w:t>
            </w:r>
            <w:r>
              <w:rPr>
                <w:rFonts w:ascii="宋体" w:hAnsi="宋体"/>
                <w:color w:val="auto"/>
                <w:szCs w:val="21"/>
                <w:highlight w:val="none"/>
              </w:rPr>
              <w:t>”袋以及“投标文件”大袋。</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.投标函部分装入“投标函部分”袋中，密封并在袋上加盖投标人单位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pacing w:val="4"/>
                <w:szCs w:val="21"/>
                <w:highlight w:val="none"/>
              </w:rPr>
              <w:t>商务部分装入“商务部分”袋中，密封并在袋上加盖投标人单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“投标函部分”、“商务部分”等小袋装入“投标文件”大袋中，密封并在大袋上加盖投标人单位</w:t>
            </w:r>
            <w:r>
              <w:rPr>
                <w:rFonts w:hint="eastAsia" w:ascii="宋体" w:hAnsi="宋体"/>
                <w:color w:val="auto"/>
                <w:szCs w:val="21"/>
                <w:highlight w:val="none"/>
              </w:rPr>
              <w:t>法人</w:t>
            </w:r>
            <w:r>
              <w:rPr>
                <w:rFonts w:ascii="宋体" w:hAnsi="宋体"/>
                <w:color w:val="auto"/>
                <w:szCs w:val="21"/>
                <w:highlight w:val="none"/>
              </w:rPr>
              <w:t>章，同时“投标文件”大袋应按本表第4.1.2项的规定写明相应内容。</w:t>
            </w:r>
            <w:r>
              <w:rPr>
                <w:rFonts w:hint="eastAsia" w:ascii="宋体" w:hAnsi="宋体"/>
                <w:color w:val="auto"/>
                <w:szCs w:val="21"/>
                <w:highlight w:val="none"/>
              </w:rPr>
              <w:t>大袋未按要求密封的，</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或代理机构应该拒收。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”单独封装，密封并在袋上加盖投标人单位</w:t>
            </w:r>
            <w:r>
              <w:rPr>
                <w:rFonts w:hint="eastAsia" w:ascii="宋体" w:hAnsi="宋体"/>
                <w:color w:val="auto"/>
                <w:szCs w:val="21"/>
                <w:highlight w:val="none"/>
              </w:rPr>
              <w:t>法人</w:t>
            </w:r>
            <w:r>
              <w:rPr>
                <w:rFonts w:ascii="宋体" w:hAnsi="宋体"/>
                <w:color w:val="auto"/>
                <w:szCs w:val="21"/>
                <w:highlight w:val="none"/>
              </w:rPr>
              <w:t>章，同时应按本表第4.1.2项的规定写明相应内容。</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注：“投标函部分”袋、“商务部分”袋只为方便投标文件分装，不作为判定密封合格与否的条件。但为了方便开标，请各投标人主动配合，按要求分装。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4.1.2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封套上写明</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应在“投标文件”大袋和“</w:t>
            </w:r>
            <w:r>
              <w:rPr>
                <w:rFonts w:hint="eastAsia" w:ascii="宋体" w:hAnsi="宋体"/>
                <w:color w:val="auto"/>
                <w:kern w:val="0"/>
                <w:szCs w:val="21"/>
                <w:highlight w:val="none"/>
              </w:rPr>
              <w:t>资格审查部分</w:t>
            </w:r>
            <w:r>
              <w:rPr>
                <w:rFonts w:ascii="宋体" w:hAnsi="宋体"/>
                <w:color w:val="auto"/>
                <w:kern w:val="0"/>
                <w:szCs w:val="21"/>
                <w:highlight w:val="none"/>
              </w:rPr>
              <w:t>”封套上写明如下内容：</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snapToGrid w:val="0"/>
                <w:color w:val="auto"/>
                <w:kern w:val="0"/>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投标人名称：</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（项目名称）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标段投标文件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4.2.2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递交投标文件地点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bCs/>
                <w:i/>
                <w:color w:val="auto"/>
                <w:szCs w:val="21"/>
                <w:highlight w:val="none"/>
              </w:rPr>
            </w:pPr>
            <w:r>
              <w:rPr>
                <w:rFonts w:hint="eastAsia" w:ascii="宋体" w:hAnsi="宋体" w:cs="宋体"/>
                <w:bCs/>
                <w:color w:val="auto"/>
                <w:kern w:val="0"/>
                <w:szCs w:val="21"/>
                <w:highlight w:val="none"/>
                <w:lang w:eastAsia="zh-CN"/>
              </w:rPr>
              <w:t>重庆安居古城华夏文化旅游发展有限公司会议室。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4.2.3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是否退还投标文件</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否</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开标时间和</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开标时间：同投标截止时间</w:t>
            </w:r>
            <w:r>
              <w:rPr>
                <w:rFonts w:hint="eastAsia" w:ascii="宋体" w:hAnsi="宋体"/>
                <w:color w:val="auto"/>
                <w:kern w:val="0"/>
                <w:szCs w:val="21"/>
                <w:highlight w:val="none"/>
                <w:lang w:eastAsia="zh-CN"/>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Cs/>
                <w:color w:val="auto"/>
                <w:kern w:val="0"/>
                <w:szCs w:val="21"/>
                <w:highlight w:val="none"/>
                <w:lang w:eastAsia="zh-CN"/>
              </w:rPr>
              <w:t>重庆安居古城华夏文化旅游发展有限公司会议室</w:t>
            </w:r>
            <w:r>
              <w:rPr>
                <w:rFonts w:ascii="宋体" w:hAnsi="宋体"/>
                <w:bCs/>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zCs w:val="21"/>
                <w:highlight w:val="none"/>
              </w:rPr>
            </w:pPr>
            <w:r>
              <w:rPr>
                <w:rFonts w:ascii="宋体" w:hAnsi="宋体"/>
                <w:color w:val="auto"/>
                <w:szCs w:val="21"/>
                <w:highlight w:val="none"/>
              </w:rPr>
              <w:t>5.2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zCs w:val="21"/>
                <w:highlight w:val="none"/>
              </w:rPr>
            </w:pPr>
            <w:r>
              <w:rPr>
                <w:rFonts w:ascii="宋体" w:hAnsi="宋体"/>
                <w:color w:val="auto"/>
                <w:szCs w:val="21"/>
                <w:highlight w:val="none"/>
              </w:rPr>
              <w:t>开标程序</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主持人按下列程序进行开标：</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 核验参加开标会议的投标人的法定代表人或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eastAsia="宋体" w:cs="宋体"/>
                <w:color w:val="auto"/>
                <w:sz w:val="21"/>
                <w:szCs w:val="21"/>
              </w:rPr>
              <w:t>、养老保险证明材料</w:t>
            </w:r>
            <w:r>
              <w:rPr>
                <w:rFonts w:ascii="宋体" w:hAnsi="宋体"/>
                <w:color w:val="auto"/>
                <w:szCs w:val="21"/>
                <w:highlight w:val="none"/>
              </w:rPr>
              <w:t>（原件），以确认其身份合法有效；</w:t>
            </w:r>
            <w:r>
              <w:rPr>
                <w:b/>
                <w:bCs/>
                <w:color w:val="auto"/>
                <w:szCs w:val="21"/>
                <w:highlight w:val="none"/>
              </w:rPr>
              <w:t>若投标人的法定代表人或授权委托代理人身份核验不合格，当场退还投标文件</w:t>
            </w:r>
            <w:r>
              <w:rPr>
                <w:rFonts w:hint="eastAsia" w:ascii="宋体" w:hAnsi="宋体"/>
                <w:color w:val="auto"/>
                <w:szCs w:val="21"/>
                <w:highlight w:val="none"/>
              </w:rPr>
              <w:t>。核验合格的法定代表人或委托代理人可自行选择是否参加开标会，不参加开标会的视为默认开标结果。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4. 公布在投标截止时间前递交投标文件的投标人名称</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s="宋体"/>
                <w:color w:val="auto"/>
                <w:kern w:val="0"/>
                <w:szCs w:val="21"/>
                <w:highlight w:val="none"/>
              </w:rPr>
              <w:t>5．</w:t>
            </w:r>
            <w:r>
              <w:rPr>
                <w:rFonts w:hint="eastAsia" w:ascii="宋体" w:hAnsi="宋体"/>
                <w:color w:val="auto"/>
                <w:szCs w:val="21"/>
                <w:highlight w:val="none"/>
              </w:rPr>
              <w:t>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6. </w:t>
            </w:r>
            <w:r>
              <w:rPr>
                <w:rFonts w:hint="eastAsia" w:ascii="宋体" w:hAnsi="宋体" w:cs="宋体"/>
                <w:bCs/>
                <w:color w:val="auto"/>
                <w:kern w:val="0"/>
                <w:szCs w:val="21"/>
                <w:highlight w:val="none"/>
              </w:rPr>
              <w:t>核验</w:t>
            </w:r>
            <w:r>
              <w:rPr>
                <w:rFonts w:hint="eastAsia" w:ascii="宋体" w:hAnsi="宋体" w:cs="宋体"/>
                <w:bCs/>
                <w:color w:val="auto"/>
                <w:kern w:val="0"/>
                <w:szCs w:val="21"/>
                <w:highlight w:val="none"/>
                <w:lang w:eastAsia="zh-CN"/>
              </w:rPr>
              <w:t>投标</w:t>
            </w:r>
            <w:r>
              <w:rPr>
                <w:rFonts w:hint="eastAsia" w:ascii="宋体" w:hAnsi="宋体" w:cs="宋体"/>
                <w:bCs/>
                <w:color w:val="auto"/>
                <w:kern w:val="0"/>
                <w:szCs w:val="21"/>
                <w:highlight w:val="none"/>
              </w:rPr>
              <w:t>保证金缴款情况，未在规定时间足额缴纳</w:t>
            </w:r>
            <w:r>
              <w:rPr>
                <w:rFonts w:hint="eastAsia" w:ascii="宋体" w:hAnsi="宋体" w:cs="宋体"/>
                <w:bCs/>
                <w:color w:val="auto"/>
                <w:kern w:val="0"/>
                <w:szCs w:val="21"/>
                <w:highlight w:val="none"/>
                <w:lang w:eastAsia="zh-CN"/>
              </w:rPr>
              <w:t>投标</w:t>
            </w:r>
            <w:r>
              <w:rPr>
                <w:rFonts w:hint="eastAsia" w:ascii="宋体" w:hAnsi="宋体" w:cs="宋体"/>
                <w:bCs/>
                <w:color w:val="auto"/>
                <w:kern w:val="0"/>
                <w:szCs w:val="21"/>
                <w:highlight w:val="none"/>
              </w:rPr>
              <w:t>保证金，</w:t>
            </w:r>
            <w:r>
              <w:rPr>
                <w:rFonts w:hint="eastAsia" w:ascii="宋体" w:hAnsi="宋体"/>
                <w:color w:val="auto"/>
                <w:szCs w:val="21"/>
                <w:highlight w:val="none"/>
              </w:rPr>
              <w:t>在开标记录表上记录并交由评标委员会作否决投标处理。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7. 设有最高限价的，公布最高限价</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w:t>
            </w:r>
            <w:r>
              <w:rPr>
                <w:rFonts w:hint="eastAsia" w:ascii="宋体" w:hAnsi="宋体"/>
                <w:color w:val="auto"/>
                <w:szCs w:val="21"/>
                <w:highlight w:val="none"/>
              </w:rPr>
              <w:t>资格审查部分</w:t>
            </w:r>
            <w:r>
              <w:rPr>
                <w:rFonts w:ascii="宋体" w:hAnsi="宋体"/>
                <w:color w:val="auto"/>
                <w:szCs w:val="21"/>
                <w:highlight w:val="none"/>
              </w:rPr>
              <w:t>袋、投标文件大袋及投标函部分袋、商务部分袋；公布投标人名称、投标报价、质量要求、工期及其他内容并记录在案</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9. </w:t>
            </w:r>
            <w:r>
              <w:rPr>
                <w:rFonts w:ascii="宋体" w:hAnsi="宋体"/>
                <w:color w:val="auto"/>
                <w:szCs w:val="21"/>
                <w:highlight w:val="none"/>
              </w:rPr>
              <w:t xml:space="preserve"> 投标人代表、</w:t>
            </w:r>
            <w:r>
              <w:rPr>
                <w:rFonts w:hint="eastAsia" w:ascii="宋体" w:hAnsi="宋体"/>
                <w:color w:val="auto"/>
                <w:szCs w:val="21"/>
                <w:highlight w:val="none"/>
                <w:lang w:eastAsia="zh-CN"/>
              </w:rPr>
              <w:t>比选人</w:t>
            </w:r>
            <w:r>
              <w:rPr>
                <w:rFonts w:ascii="宋体" w:hAnsi="宋体"/>
                <w:color w:val="auto"/>
                <w:szCs w:val="21"/>
                <w:highlight w:val="none"/>
              </w:rPr>
              <w:t>代表、监标人、记录人等有关人员在开标记录上签字确认</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r>
              <w:rPr>
                <w:rFonts w:ascii="宋体" w:hAnsi="宋体"/>
                <w:color w:val="auto"/>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6.1.1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评标委员会的组建</w:t>
            </w:r>
          </w:p>
        </w:tc>
        <w:tc>
          <w:tcPr>
            <w:tcW w:w="6803" w:type="dxa"/>
            <w:vAlign w:val="center"/>
          </w:tcPr>
          <w:p>
            <w:pPr>
              <w:keepNext w:val="0"/>
              <w:keepLines w:val="0"/>
              <w:pageBreakBefore w:val="0"/>
              <w:numPr>
                <w:ilvl w:val="0"/>
                <w:numId w:val="1"/>
              </w:numPr>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color w:val="auto"/>
                <w:kern w:val="0"/>
                <w:szCs w:val="21"/>
                <w:highlight w:val="none"/>
              </w:rPr>
            </w:pPr>
            <w:r>
              <w:rPr>
                <w:rFonts w:hint="eastAsia" w:ascii="宋体" w:hAnsi="宋体" w:cs="宋体"/>
                <w:color w:val="auto"/>
                <w:kern w:val="0"/>
                <w:szCs w:val="21"/>
                <w:highlight w:val="none"/>
              </w:rPr>
              <w:t>评标委员会构成：</w:t>
            </w:r>
            <w:r>
              <w:rPr>
                <w:rFonts w:hint="eastAsia" w:ascii="宋体" w:hAnsi="宋体"/>
                <w:color w:val="auto"/>
                <w:kern w:val="0"/>
                <w:szCs w:val="21"/>
                <w:highlight w:val="none"/>
                <w:u w:val="single"/>
              </w:rPr>
              <w:t>　3　</w:t>
            </w:r>
            <w:r>
              <w:rPr>
                <w:rFonts w:hint="eastAsia" w:ascii="宋体" w:hAnsi="宋体"/>
                <w:color w:val="auto"/>
                <w:kern w:val="0"/>
                <w:szCs w:val="21"/>
                <w:highlight w:val="none"/>
              </w:rPr>
              <w:t>人；</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评标专家确定方式：</w:t>
            </w:r>
            <w:r>
              <w:rPr>
                <w:rFonts w:hint="eastAsia" w:ascii="宋体" w:hAnsi="宋体"/>
                <w:color w:val="auto"/>
                <w:kern w:val="0"/>
                <w:szCs w:val="21"/>
                <w:highlight w:val="none"/>
              </w:rPr>
              <w:t>由比选人</w:t>
            </w:r>
            <w:r>
              <w:rPr>
                <w:rFonts w:hint="eastAsia" w:ascii="宋体" w:hAnsi="宋体"/>
                <w:color w:val="auto"/>
                <w:kern w:val="0"/>
                <w:szCs w:val="21"/>
                <w:highlight w:val="none"/>
                <w:lang w:val="en-US" w:eastAsia="zh-CN"/>
              </w:rPr>
              <w:t>自行</w:t>
            </w:r>
            <w:r>
              <w:rPr>
                <w:rFonts w:hint="eastAsia" w:ascii="宋体" w:hAnsi="宋体"/>
                <w:color w:val="auto"/>
                <w:kern w:val="0"/>
                <w:szCs w:val="21"/>
                <w:highlight w:val="none"/>
              </w:rPr>
              <w:t>组建。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7.1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i/>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7.2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中标公示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为深化信息公开，接受社会监督，本项目将按照《</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eastAsia="zh-CN"/>
              </w:rPr>
              <w:t>公告</w:t>
            </w:r>
            <w:r>
              <w:rPr>
                <w:rFonts w:hint="eastAsia" w:ascii="宋体" w:hAnsi="宋体" w:cs="宋体"/>
                <w:color w:val="auto"/>
                <w:szCs w:val="21"/>
                <w:highlight w:val="none"/>
              </w:rPr>
              <w:t>和公示信息发布管理办法》（国家发改委令第10号）的要求，</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default" w:ascii="宋体" w:hAnsi="宋体" w:cs="宋体"/>
                <w:color w:val="auto"/>
                <w:szCs w:val="21"/>
                <w:highlight w:val="none"/>
                <w:u w:val="single"/>
                <w:lang w:val="en-US" w:eastAsia="zh-CN"/>
              </w:rPr>
              <w:t>重庆安居古城网站（http://www.anjugc.cn/index.htm）</w:t>
            </w:r>
            <w:r>
              <w:rPr>
                <w:rFonts w:hint="eastAsia" w:ascii="宋体" w:hAnsi="宋体" w:cs="宋体"/>
                <w:color w:val="auto"/>
                <w:szCs w:val="21"/>
                <w:highlight w:val="none"/>
                <w:u w:val="single"/>
                <w:lang w:eastAsia="zh-CN"/>
              </w:rPr>
              <w:t>上</w:t>
            </w:r>
            <w:r>
              <w:rPr>
                <w:rFonts w:hint="eastAsia" w:ascii="宋体" w:hAnsi="宋体" w:cs="宋体"/>
                <w:color w:val="auto"/>
                <w:szCs w:val="21"/>
                <w:highlight w:val="none"/>
              </w:rPr>
              <w:t>进行公示，公示期为3个工作日。公示内容包括中标候选人名称、排序、得分（如有）、投标报价、质量、工期；中标候选人资质、投标业绩（如有），中标候选人项目经理姓名及其相关证书名称和编号、投标业绩（如有）；否决投标情况及理由；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7.3.1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履约担保</w:t>
            </w:r>
          </w:p>
        </w:tc>
        <w:tc>
          <w:tcPr>
            <w:tcW w:w="680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1、中标人是否提供履约担保：</w:t>
            </w:r>
            <w:r>
              <w:rPr>
                <w:rFonts w:hint="eastAsia"/>
                <w:color w:val="auto"/>
                <w:highlight w:val="none"/>
                <w:u w:val="single"/>
                <w:lang w:val="en-US" w:eastAsia="zh-CN"/>
              </w:rPr>
              <w:t>提供</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2、中标人提供履约担保的形式、金额及期限：</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eastAsia="zh-CN"/>
              </w:rPr>
              <w:t>转账</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（2）履约担保的金额：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color w:val="auto"/>
                <w:highlight w:val="none"/>
                <w:u w:val="single"/>
                <w:lang w:val="en-US" w:eastAsia="zh-CN"/>
              </w:rPr>
              <w:t>8%</w:t>
            </w:r>
            <w:r>
              <w:rPr>
                <w:rFonts w:hint="eastAsia" w:ascii="宋体"/>
                <w:kern w:val="0"/>
                <w:szCs w:val="21"/>
                <w:u w:val="single"/>
              </w:rPr>
              <w:t>，红名单中的中标人履约担保金额减半</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（3）履约担保的提交时间：见专用合同条款；</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（4）履约担保的退还时间：见专用合同条款；</w:t>
            </w:r>
          </w:p>
          <w:p>
            <w:pPr>
              <w:pStyle w:val="2"/>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除上述担保方式外，中标人也可选择提供在中国人民银行备案的第三方征信机构出具的有效信用报告原件（加盖中标人鲜章），并根据报告中载明的信用评价等级享受履约保证金减免优惠政策。具体优惠政策为：评价等级为AAA级（含AAA＋、AAA－）的按合同金额3%缴纳履约保证金，评价等级为AA级（含AA＋、AA－）按合同金额5%缴纳履约保证金，评价等级为A级（含A＋、A－）按合同金额6%缴纳履约保证金，评价等级为BBB级（含BBB＋、BBB－）的按合同金额7%缴纳履约保证金，评价等级为BB级（含BB＋、BB－）的按合同金额8%缴纳履约保证金，B级（含B＋、B－）的及以下不享受履约保证金减免优惠政策。</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ascii="Times New Roman" w:hAnsi="Times New Roman" w:eastAsia="宋体" w:cs="Times New Roman"/>
                <w:color w:val="auto"/>
                <w:kern w:val="2"/>
                <w:sz w:val="21"/>
                <w:szCs w:val="24"/>
                <w:highlight w:val="none"/>
                <w:lang w:val="en-US" w:eastAsia="zh-CN" w:bidi="ar-SA"/>
              </w:rPr>
              <w:t>重庆市工程建设领域招标投标守信激励对象名单（简称红名单）中标人可自行选择信用报告评价等级相应优惠政策或红名单优惠政策，不重复享受。</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信用报告的获取方式：中标人可在重庆市铜梁区市民服务和营商环境促进中心“信用服务”窗口、“信用中国（重庆铜梁）”官方网站（</w:t>
            </w:r>
            <w:r>
              <w:rPr>
                <w:rFonts w:hint="eastAsia" w:ascii="Times New Roman" w:hAnsi="Times New Roman" w:eastAsia="宋体" w:cs="Times New Roman"/>
                <w:color w:val="auto"/>
                <w:kern w:val="2"/>
                <w:sz w:val="21"/>
                <w:szCs w:val="24"/>
                <w:highlight w:val="none"/>
                <w:lang w:val="en-US" w:eastAsia="zh-CN" w:bidi="ar-SA"/>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Times New Roman" w:hAnsi="Times New Roman" w:eastAsia="宋体" w:cs="Times New Roman"/>
                <w:color w:val="auto"/>
                <w:kern w:val="2"/>
                <w:sz w:val="21"/>
                <w:szCs w:val="24"/>
                <w:highlight w:val="none"/>
                <w:lang w:val="en-US" w:eastAsia="zh-CN" w:bidi="ar-SA"/>
              </w:rPr>
              <w:t>http://tongliang.xycq.gov.cn）,或中国人民银行备案的第三方征信机构官方网站获取信用报告。</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项目业主负责在合同签订前对中标人提交信用报告的真实性及有效性通过第三方征信机构官方电话或二维码进行核验，对伪造信用报告的企业，取消其中标资格，投标保证金不予退还。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8.1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重新招标</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1.按投标人须知第8.1（1）执行；</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2.按投标人须知第8.1（2）执行；</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按投标人须知第8.1（3）执行；</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按投标人须知第8.1（4）执行。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8.2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color w:val="auto"/>
                <w:highlight w:val="none"/>
              </w:rPr>
            </w:pPr>
            <w:bookmarkStart w:id="86" w:name="_Toc16930431"/>
            <w:bookmarkStart w:id="87" w:name="_Toc509218709"/>
            <w:bookmarkStart w:id="88" w:name="_Toc430530434"/>
            <w:bookmarkStart w:id="89" w:name="_Toc13210670"/>
            <w:bookmarkStart w:id="90" w:name="_Toc536628250"/>
            <w:r>
              <w:rPr>
                <w:rFonts w:ascii="宋体" w:hAnsi="宋体"/>
                <w:color w:val="auto"/>
                <w:kern w:val="0"/>
                <w:szCs w:val="21"/>
                <w:highlight w:val="none"/>
              </w:rPr>
              <w:t>二次招标和不再招标</w:t>
            </w:r>
            <w:bookmarkEnd w:id="86"/>
            <w:bookmarkEnd w:id="87"/>
            <w:bookmarkEnd w:id="88"/>
            <w:bookmarkEnd w:id="89"/>
            <w:bookmarkEnd w:id="90"/>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10</w:t>
            </w:r>
          </w:p>
        </w:tc>
        <w:tc>
          <w:tcPr>
            <w:tcW w:w="8360" w:type="dxa"/>
            <w:gridSpan w:val="2"/>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10.1</w:t>
            </w:r>
          </w:p>
        </w:tc>
        <w:tc>
          <w:tcPr>
            <w:tcW w:w="1557"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低价风险担保</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kern w:val="0"/>
                <w:szCs w:val="21"/>
              </w:rPr>
              <w:t>（采用经评审的最低投标价法适用）</w:t>
            </w:r>
          </w:p>
        </w:tc>
        <w:tc>
          <w:tcPr>
            <w:tcW w:w="680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1、低价风险担保：中标价低于最高限价的85%时提供，如不按时足额提供，视为中标人放弃中标，比选人有权不退还其</w:t>
            </w:r>
            <w:r>
              <w:rPr>
                <w:rFonts w:hint="eastAsia" w:ascii="宋体" w:hAnsi="宋体"/>
                <w:kern w:val="0"/>
                <w:szCs w:val="21"/>
                <w:lang w:eastAsia="zh-CN"/>
              </w:rPr>
              <w:t>投标</w:t>
            </w:r>
            <w:r>
              <w:rPr>
                <w:rFonts w:hint="eastAsia" w:ascii="宋体" w:hAnsi="宋体"/>
                <w:kern w:val="0"/>
                <w:szCs w:val="21"/>
              </w:rPr>
              <w:t>保证金，</w:t>
            </w:r>
            <w:r>
              <w:rPr>
                <w:rFonts w:hint="eastAsia"/>
              </w:rPr>
              <w:t>并报招标投标行政监督部门按照信用管理办法的规定处理，对中标人的不良行为直接记12分，纳入重点关注名单。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rPr>
                <w:rStyle w:val="54"/>
                <w:rFonts w:hint="eastAsia"/>
              </w:rPr>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4"/>
                <w:rFonts w:hint="eastAsia"/>
              </w:rPr>
              <w:t>，</w:t>
            </w:r>
            <w:r>
              <w:rPr>
                <w:rFonts w:hint="default" w:ascii="宋体" w:hAnsi="宋体"/>
                <w:kern w:val="0"/>
                <w:szCs w:val="21"/>
                <w:lang w:val="en-US" w:eastAsia="zh-CN"/>
              </w:rPr>
              <w:t>红名单中的中标人低价风险担保金额减半</w:t>
            </w:r>
            <w:r>
              <w:rPr>
                <w:rFonts w:hint="eastAsia" w:ascii="宋体" w:hAnsi="宋体"/>
                <w:kern w:val="0"/>
                <w:szCs w:val="21"/>
                <w:lang w:val="en-US" w:eastAsia="zh-CN"/>
              </w:rPr>
              <w:t>；</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hint="default" w:ascii="宋体" w:hAnsi="宋体"/>
                <w:kern w:val="0"/>
                <w:szCs w:val="21"/>
                <w:lang w:val="en-US" w:eastAsia="zh-CN"/>
              </w:rPr>
              <w:t>低价风险担保的提交时间：中标候选人公示结束后10个工作日内，中标人按担保金额向</w:t>
            </w:r>
            <w:r>
              <w:rPr>
                <w:rFonts w:hint="eastAsia" w:ascii="宋体" w:hAnsi="宋体"/>
                <w:kern w:val="0"/>
                <w:szCs w:val="21"/>
                <w:lang w:val="en-US" w:eastAsia="zh-CN"/>
              </w:rPr>
              <w:t>比选</w:t>
            </w:r>
            <w:r>
              <w:rPr>
                <w:rFonts w:hint="default" w:ascii="宋体" w:hAnsi="宋体"/>
                <w:kern w:val="0"/>
                <w:szCs w:val="21"/>
                <w:lang w:val="en-US" w:eastAsia="zh-CN"/>
              </w:rPr>
              <w:t>人提交低价风险担保；</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（4）中标人因自身原因未按中标通知书规定的时限与比选人签订合同的，比选人有权扣除其低价风险担保并取消中标资格。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default" w:ascii="宋体" w:hAnsi="宋体"/>
                <w:color w:val="auto"/>
                <w:szCs w:val="21"/>
                <w:highlight w:val="none"/>
                <w:u w:val="single"/>
                <w:lang w:val="en-US" w:eastAsia="zh-CN"/>
              </w:rPr>
              <w:t>自提交低价风险担保之日起至</w:t>
            </w:r>
            <w:r>
              <w:rPr>
                <w:rFonts w:hint="eastAsia" w:ascii="宋体" w:hAnsi="宋体"/>
                <w:color w:val="auto"/>
                <w:szCs w:val="21"/>
                <w:highlight w:val="none"/>
                <w:u w:val="single"/>
                <w:lang w:val="en-US" w:eastAsia="zh-CN"/>
              </w:rPr>
              <w:t>竣工</w:t>
            </w:r>
            <w:r>
              <w:rPr>
                <w:rFonts w:hint="default" w:ascii="宋体" w:hAnsi="宋体"/>
                <w:color w:val="auto"/>
                <w:szCs w:val="21"/>
                <w:highlight w:val="none"/>
                <w:u w:val="single"/>
                <w:lang w:val="en-US" w:eastAsia="zh-CN"/>
              </w:rPr>
              <w:t>验收合格之日止</w:t>
            </w:r>
            <w:r>
              <w:rPr>
                <w:rFonts w:hint="eastAsia" w:ascii="宋体" w:hAnsi="宋体"/>
                <w:kern w:val="0"/>
                <w:szCs w:val="21"/>
              </w:rPr>
              <w:t>。</w:t>
            </w:r>
          </w:p>
          <w:p>
            <w:pPr>
              <w:widowControl/>
              <w:spacing w:line="400" w:lineRule="exact"/>
              <w:ind w:firstLine="420" w:firstLineChars="200"/>
              <w:rPr>
                <w:rFonts w:hint="eastAsia" w:ascii="宋体" w:hAnsi="宋体"/>
                <w:kern w:val="0"/>
                <w:szCs w:val="21"/>
              </w:rPr>
            </w:pPr>
            <w:r>
              <w:rPr>
                <w:rFonts w:hint="eastAsia" w:ascii="宋体" w:hAnsi="宋体"/>
                <w:kern w:val="0"/>
                <w:szCs w:val="21"/>
              </w:rPr>
              <w:t>3、低价风险担保的退还时间：</w:t>
            </w:r>
            <w:r>
              <w:rPr>
                <w:rFonts w:hint="default" w:ascii="宋体" w:hAnsi="宋体"/>
                <w:color w:val="auto"/>
                <w:szCs w:val="21"/>
                <w:highlight w:val="none"/>
                <w:u w:val="single"/>
                <w:lang w:val="en-US" w:eastAsia="zh-CN"/>
              </w:rPr>
              <w:t>采用现金担保的，工程竣工验收合格后14天内无息退还；采用银行保函的，工程竣工验收合格后14天内退还</w:t>
            </w:r>
            <w:r>
              <w:rPr>
                <w:rFonts w:hint="eastAsia" w:ascii="宋体" w:hAnsi="宋体"/>
                <w:kern w:val="0"/>
                <w:szCs w:val="21"/>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color w:val="auto"/>
                <w:kern w:val="0"/>
                <w:szCs w:val="21"/>
                <w:highlight w:val="none"/>
              </w:rPr>
            </w:pPr>
            <w:r>
              <w:rPr>
                <w:rFonts w:hint="eastAsia" w:ascii="宋体" w:hAnsi="宋体"/>
              </w:rPr>
              <w:t>4、采用经评审最低投标价法的项目，拟中标人或者中标人放弃中标项目，无正当理由不与招标人签订合同，在签订合同时向比选人提出附加条件或者更改合同实质性内容，或者拒不按照比选文件规定提交低价风险担保或履约担保的，取消其中标资格，</w:t>
            </w:r>
            <w:r>
              <w:rPr>
                <w:rFonts w:hint="eastAsia" w:ascii="宋体" w:hAnsi="宋体"/>
                <w:lang w:eastAsia="zh-CN"/>
              </w:rPr>
              <w:t>投标</w:t>
            </w:r>
            <w:r>
              <w:rPr>
                <w:rFonts w:hint="eastAsia" w:ascii="宋体" w:hAnsi="宋体"/>
              </w:rPr>
              <w:t>保证金不予退还，给比选人造成的损失超过</w:t>
            </w:r>
            <w:r>
              <w:rPr>
                <w:rFonts w:hint="eastAsia" w:ascii="宋体" w:hAnsi="宋体"/>
                <w:lang w:eastAsia="zh-CN"/>
              </w:rPr>
              <w:t>投标</w:t>
            </w:r>
            <w:r>
              <w:rPr>
                <w:rFonts w:hint="eastAsia" w:ascii="宋体" w:hAnsi="宋体"/>
              </w:rPr>
              <w:t>保证金数额的，拟中标人或中标人应对超过部分予以赔偿。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投诉处理</w:t>
            </w:r>
          </w:p>
        </w:tc>
        <w:tc>
          <w:tcPr>
            <w:tcW w:w="6803" w:type="dxa"/>
            <w:vAlign w:val="center"/>
          </w:tcPr>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招标投标法》、《招标投标法实施条例》、《重庆市招标投标条例》、《工程建设项目招标投标活动投诉处理办法》（七部委令第11号（根据九部门2013年第23号令修正））、《重庆市招标投标活动投诉处理实施细则》（渝发改标</w:t>
            </w:r>
            <w:r>
              <w:rPr>
                <w:rFonts w:hint="eastAsia" w:ascii="宋体" w:hAnsi="宋体"/>
                <w:color w:val="auto"/>
                <w:kern w:val="0"/>
                <w:szCs w:val="21"/>
                <w:highlight w:val="none"/>
              </w:rPr>
              <w:t>〔</w:t>
            </w:r>
            <w:r>
              <w:rPr>
                <w:rFonts w:ascii="宋体" w:hAnsi="宋体"/>
                <w:color w:val="auto"/>
                <w:kern w:val="0"/>
                <w:szCs w:val="21"/>
                <w:highlight w:val="none"/>
              </w:rPr>
              <w:t>2014</w:t>
            </w:r>
            <w:r>
              <w:rPr>
                <w:rFonts w:hint="eastAsia" w:ascii="宋体" w:hAnsi="宋体"/>
                <w:color w:val="auto"/>
                <w:kern w:val="0"/>
                <w:szCs w:val="21"/>
                <w:highlight w:val="none"/>
              </w:rPr>
              <w:t>〕</w:t>
            </w:r>
            <w:r>
              <w:rPr>
                <w:rFonts w:ascii="宋体" w:hAnsi="宋体"/>
                <w:color w:val="auto"/>
                <w:kern w:val="0"/>
                <w:szCs w:val="21"/>
                <w:highlight w:val="none"/>
              </w:rPr>
              <w:t>1168号）等法律法规文件处理投诉。</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及投标争议的解释</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的评标标准和方法，以及资格审查和否决投标条款理解有争议的，应当作出不利于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的解释，但违背国家利益、社会公共利益的除外。</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color w:val="auto"/>
                <w:kern w:val="0"/>
                <w:szCs w:val="21"/>
                <w:highlight w:val="none"/>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付款方式</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lang w:val="en-US" w:eastAsia="zh-CN"/>
              </w:rPr>
            </w:pPr>
            <w:r>
              <w:rPr>
                <w:rFonts w:hint="eastAsia"/>
                <w:lang w:eastAsia="zh-CN"/>
              </w:rPr>
              <w:t>竣工验收合格（并完成送审）后</w:t>
            </w:r>
            <w:r>
              <w:rPr>
                <w:rFonts w:hint="eastAsia"/>
                <w:lang w:val="en-US" w:eastAsia="zh-CN"/>
              </w:rPr>
              <w:t>180日历天内付至合同价款的70%，结算审核完成后一年内付至审定金额的97%（其中结算审核总价款的3%留作质保金）。</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default" w:eastAsia="宋体"/>
                <w:lang w:val="en-US" w:eastAsia="zh-CN"/>
              </w:rPr>
            </w:pPr>
            <w:r>
              <w:rPr>
                <w:rFonts w:hint="eastAsia"/>
                <w:lang w:val="en-US" w:eastAsia="zh-CN"/>
              </w:rPr>
              <w:t>审定金额以招标人选定的第三方结算审核机构审定的金额为准。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color w:val="auto"/>
                <w:kern w:val="0"/>
                <w:szCs w:val="21"/>
                <w:highlight w:val="none"/>
                <w:lang w:val="en-US"/>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招标代理费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招标代理服务费：</w:t>
            </w:r>
            <w:r>
              <w:rPr>
                <w:rFonts w:hint="eastAsia" w:ascii="宋体" w:hAnsi="宋体"/>
                <w:color w:val="auto"/>
                <w:kern w:val="0"/>
                <w:szCs w:val="21"/>
                <w:highlight w:val="none"/>
                <w:u w:val="single"/>
                <w:lang w:val="en-US" w:eastAsia="zh-CN"/>
              </w:rPr>
              <w:t xml:space="preserve"> 3000</w:t>
            </w:r>
            <w:r>
              <w:rPr>
                <w:rFonts w:hint="eastAsia" w:ascii="宋体" w:hAnsi="宋体"/>
                <w:color w:val="auto"/>
                <w:kern w:val="0"/>
                <w:szCs w:val="21"/>
                <w:highlight w:val="none"/>
                <w:u w:val="single"/>
              </w:rPr>
              <w:t>元</w:t>
            </w:r>
            <w:r>
              <w:rPr>
                <w:rFonts w:hint="eastAsia" w:ascii="宋体" w:hAnsi="宋体"/>
                <w:color w:val="auto"/>
                <w:kern w:val="0"/>
                <w:szCs w:val="21"/>
                <w:highlight w:val="none"/>
              </w:rPr>
              <w:t>。由中标人在领取中标通知书时一次性支付给招标代理公司。</w:t>
            </w:r>
          </w:p>
        </w:tc>
      </w:tr>
    </w:tbl>
    <w:p>
      <w:pPr>
        <w:pStyle w:val="4"/>
        <w:keepNext/>
        <w:keepLines/>
        <w:pageBreakBefore w:val="0"/>
        <w:widowControl w:val="0"/>
        <w:kinsoku/>
        <w:wordWrap/>
        <w:overflowPunct/>
        <w:topLinePunct w:val="0"/>
        <w:autoSpaceDE/>
        <w:autoSpaceDN/>
        <w:bidi w:val="0"/>
        <w:adjustRightInd/>
        <w:snapToGrid/>
        <w:spacing w:before="0" w:after="0" w:line="330" w:lineRule="exact"/>
        <w:textAlignment w:val="auto"/>
        <w:rPr>
          <w:rFonts w:ascii="宋体" w:hAnsi="宋体"/>
          <w:b w:val="0"/>
          <w:snapToGrid w:val="0"/>
          <w:color w:val="auto"/>
          <w:highlight w:val="none"/>
        </w:rPr>
      </w:pPr>
      <w:r>
        <w:rPr>
          <w:rFonts w:ascii="宋体" w:hAnsi="宋体"/>
          <w:b w:val="0"/>
          <w:snapToGrid w:val="0"/>
          <w:color w:val="auto"/>
          <w:highlight w:val="none"/>
        </w:rPr>
        <w:t>1.  总则</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91" w:name="_Toc430530436"/>
      <w:bookmarkStart w:id="92" w:name="_Toc509218711"/>
      <w:bookmarkStart w:id="93" w:name="_Toc200513127"/>
      <w:bookmarkStart w:id="94" w:name="_Toc287607747"/>
      <w:bookmarkStart w:id="95" w:name="_Toc287620686"/>
      <w:bookmarkStart w:id="96" w:name="_Toc224103318"/>
      <w:bookmarkStart w:id="97" w:name="_Toc41900002"/>
      <w:bookmarkStart w:id="98" w:name="_Toc277082553"/>
      <w:r>
        <w:rPr>
          <w:rFonts w:ascii="宋体" w:hAnsi="宋体"/>
          <w:b w:val="0"/>
          <w:snapToGrid w:val="0"/>
          <w:color w:val="auto"/>
          <w:sz w:val="24"/>
          <w:szCs w:val="24"/>
          <w:highlight w:val="none"/>
        </w:rPr>
        <w:t>1.1  项目概况</w:t>
      </w:r>
      <w:bookmarkEnd w:id="91"/>
      <w:bookmarkEnd w:id="92"/>
      <w:bookmarkEnd w:id="93"/>
      <w:bookmarkEnd w:id="94"/>
      <w:bookmarkEnd w:id="95"/>
      <w:bookmarkEnd w:id="96"/>
      <w:bookmarkEnd w:id="97"/>
      <w:bookmarkEnd w:id="98"/>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已具备</w:t>
      </w:r>
      <w:r>
        <w:rPr>
          <w:rFonts w:hint="eastAsia" w:ascii="宋体" w:hAnsi="宋体"/>
          <w:snapToGrid w:val="0"/>
          <w:color w:val="auto"/>
          <w:kern w:val="0"/>
          <w:szCs w:val="21"/>
          <w:highlight w:val="none"/>
          <w:lang w:eastAsia="zh-CN"/>
        </w:rPr>
        <w:t>比选条件</w:t>
      </w:r>
      <w:r>
        <w:rPr>
          <w:rFonts w:ascii="宋体" w:hAnsi="宋体"/>
          <w:snapToGrid w:val="0"/>
          <w:color w:val="auto"/>
          <w:kern w:val="0"/>
          <w:szCs w:val="21"/>
          <w:highlight w:val="none"/>
        </w:rPr>
        <w:t>，现对本标段施工进行招标。</w:t>
      </w:r>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比选项目比选人</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val="en-US" w:eastAsia="zh-CN"/>
        </w:rPr>
        <w:t>比选项目</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1.1.4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名称：见投标人须知前附表。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建设地点：见投标人须知前附表。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建设规模：见投标人须知前附表。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99" w:name="_Toc509218712"/>
      <w:bookmarkStart w:id="100" w:name="_Toc41900003"/>
      <w:bookmarkStart w:id="101" w:name="_Toc287607748"/>
      <w:bookmarkStart w:id="102" w:name="_Toc277082554"/>
      <w:bookmarkStart w:id="103" w:name="_Toc430530437"/>
      <w:bookmarkStart w:id="104" w:name="_Toc224103319"/>
      <w:bookmarkStart w:id="105" w:name="_Toc200513128"/>
      <w:bookmarkStart w:id="106" w:name="_Toc287620687"/>
      <w:r>
        <w:rPr>
          <w:rFonts w:ascii="宋体" w:hAnsi="宋体"/>
          <w:b w:val="0"/>
          <w:snapToGrid w:val="0"/>
          <w:color w:val="auto"/>
          <w:sz w:val="24"/>
          <w:szCs w:val="24"/>
          <w:highlight w:val="none"/>
        </w:rPr>
        <w:t>1.2  资金来源和落实情况</w:t>
      </w:r>
      <w:bookmarkEnd w:id="99"/>
      <w:bookmarkEnd w:id="100"/>
      <w:bookmarkEnd w:id="101"/>
      <w:bookmarkEnd w:id="102"/>
      <w:bookmarkEnd w:id="103"/>
      <w:bookmarkEnd w:id="104"/>
      <w:bookmarkEnd w:id="105"/>
      <w:bookmarkEnd w:id="106"/>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的资金来源：见投标人须知前附表。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的出资比例：见投标人须知前附表。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的资金落实情况：见投标人须知前附表。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07" w:name="_Toc200513129"/>
      <w:bookmarkStart w:id="108" w:name="_Toc287620688"/>
      <w:bookmarkStart w:id="109" w:name="_Toc277082555"/>
      <w:bookmarkStart w:id="110" w:name="_Toc509218713"/>
      <w:bookmarkStart w:id="111" w:name="_Toc287607749"/>
      <w:bookmarkStart w:id="112" w:name="_Toc430530438"/>
      <w:bookmarkStart w:id="113" w:name="_Toc224103320"/>
      <w:bookmarkStart w:id="114" w:name="_Toc41900004"/>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比选范围</w:t>
      </w:r>
      <w:r>
        <w:rPr>
          <w:rFonts w:ascii="宋体" w:hAnsi="宋体"/>
          <w:b w:val="0"/>
          <w:snapToGrid w:val="0"/>
          <w:color w:val="auto"/>
          <w:sz w:val="24"/>
          <w:szCs w:val="24"/>
          <w:highlight w:val="none"/>
        </w:rPr>
        <w:t>、计划工期和质量要求</w:t>
      </w:r>
      <w:bookmarkEnd w:id="107"/>
      <w:bookmarkEnd w:id="108"/>
      <w:bookmarkEnd w:id="109"/>
      <w:bookmarkEnd w:id="110"/>
      <w:bookmarkEnd w:id="111"/>
      <w:bookmarkEnd w:id="112"/>
      <w:bookmarkEnd w:id="113"/>
      <w:bookmarkEnd w:id="114"/>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15" w:name="_Toc200513131"/>
      <w:bookmarkStart w:id="116" w:name="_Toc430530440"/>
      <w:bookmarkStart w:id="117" w:name="_Toc224103322"/>
      <w:bookmarkStart w:id="118" w:name="_Toc41900005"/>
      <w:bookmarkStart w:id="119" w:name="_Toc287607751"/>
      <w:bookmarkStart w:id="120" w:name="_Toc277082557"/>
      <w:bookmarkStart w:id="121" w:name="_Toc509218715"/>
      <w:bookmarkStart w:id="122" w:name="_Toc287620690"/>
      <w:r>
        <w:rPr>
          <w:rFonts w:ascii="宋体" w:hAnsi="宋体"/>
          <w:b w:val="0"/>
          <w:snapToGrid w:val="0"/>
          <w:color w:val="auto"/>
          <w:sz w:val="24"/>
          <w:szCs w:val="24"/>
          <w:highlight w:val="none"/>
        </w:rPr>
        <w:t>1.4  投标人资格要求</w:t>
      </w:r>
      <w:bookmarkEnd w:id="115"/>
      <w:bookmarkEnd w:id="116"/>
      <w:bookmarkEnd w:id="117"/>
      <w:bookmarkEnd w:id="118"/>
      <w:bookmarkEnd w:id="119"/>
      <w:bookmarkEnd w:id="120"/>
      <w:bookmarkEnd w:id="121"/>
      <w:bookmarkEnd w:id="122"/>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w:t>
      </w:r>
      <w:r>
        <w:rPr>
          <w:rFonts w:hint="eastAsia" w:ascii="宋体" w:hAnsi="宋体"/>
          <w:snapToGrid w:val="0"/>
          <w:color w:val="auto"/>
          <w:kern w:val="0"/>
          <w:szCs w:val="21"/>
          <w:highlight w:val="none"/>
          <w:lang w:val="en-US" w:eastAsia="zh-CN"/>
        </w:rPr>
        <w:t>项目</w:t>
      </w:r>
      <w:r>
        <w:rPr>
          <w:rFonts w:ascii="宋体" w:hAnsi="宋体"/>
          <w:snapToGrid w:val="0"/>
          <w:color w:val="auto"/>
          <w:kern w:val="0"/>
          <w:szCs w:val="21"/>
          <w:highlight w:val="none"/>
        </w:rPr>
        <w:t>施工的资质条件、能力和信誉。</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（2）财务要求</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color w:val="auto"/>
          <w:highlight w:val="none"/>
        </w:rPr>
      </w:pPr>
      <w:r>
        <w:rPr>
          <w:rFonts w:hint="eastAsia" w:ascii="宋体" w:hAnsi="宋体"/>
          <w:snapToGrid w:val="0"/>
          <w:color w:val="auto"/>
          <w:kern w:val="0"/>
          <w:szCs w:val="21"/>
          <w:highlight w:val="none"/>
        </w:rPr>
        <w:t>（3）业绩要求</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lang w:val="en-US" w:eastAsia="zh-CN"/>
        </w:rPr>
        <w:t>要求</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）其他要求：见投标人须知前附表。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提供的格式签订联合体协议书，明确联合体牵头人和各方权利义务；</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存在利害关系可能影响招标公正性的法人、其他组织或者个人；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（7）与本标段的监理人或代建人或招标代理机构相互控股或参股的；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（9）被责令停业的；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（11）财产被接管或冻结的；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（12）单位负责人为同一人或者存在控股、管理关系的不同单位，不得在同一标段中同时投标。</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23" w:name="_Toc41900006"/>
      <w:bookmarkStart w:id="124" w:name="_Toc430530441"/>
      <w:bookmarkStart w:id="125" w:name="_Toc277082558"/>
      <w:bookmarkStart w:id="126" w:name="_Toc224103323"/>
      <w:bookmarkStart w:id="127" w:name="_Toc200513132"/>
      <w:bookmarkStart w:id="128" w:name="_Toc287620691"/>
      <w:bookmarkStart w:id="129" w:name="_Toc287607752"/>
      <w:bookmarkStart w:id="130" w:name="_Toc509218716"/>
      <w:r>
        <w:rPr>
          <w:rFonts w:ascii="宋体" w:hAnsi="宋体"/>
          <w:b w:val="0"/>
          <w:snapToGrid w:val="0"/>
          <w:color w:val="auto"/>
          <w:sz w:val="24"/>
          <w:szCs w:val="24"/>
          <w:highlight w:val="none"/>
        </w:rPr>
        <w:t>1.5  费用承担</w:t>
      </w:r>
      <w:bookmarkEnd w:id="123"/>
      <w:bookmarkEnd w:id="124"/>
      <w:bookmarkEnd w:id="125"/>
      <w:bookmarkEnd w:id="126"/>
      <w:bookmarkEnd w:id="127"/>
      <w:bookmarkEnd w:id="128"/>
      <w:bookmarkEnd w:id="129"/>
      <w:bookmarkEnd w:id="13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31" w:name="_Toc200513133"/>
      <w:bookmarkStart w:id="132" w:name="_Toc224103324"/>
      <w:bookmarkStart w:id="133" w:name="_Toc509218717"/>
      <w:bookmarkStart w:id="134" w:name="_Toc287607753"/>
      <w:bookmarkStart w:id="135" w:name="_Toc430530442"/>
      <w:bookmarkStart w:id="136" w:name="_Toc277082559"/>
      <w:bookmarkStart w:id="137" w:name="_Toc41900007"/>
      <w:bookmarkStart w:id="138" w:name="_Toc287620692"/>
      <w:r>
        <w:rPr>
          <w:rFonts w:ascii="宋体" w:hAnsi="宋体"/>
          <w:b w:val="0"/>
          <w:snapToGrid w:val="0"/>
          <w:color w:val="auto"/>
          <w:sz w:val="24"/>
          <w:szCs w:val="24"/>
          <w:highlight w:val="none"/>
        </w:rPr>
        <w:t>1.6  保密</w:t>
      </w:r>
      <w:bookmarkEnd w:id="131"/>
      <w:bookmarkEnd w:id="132"/>
      <w:bookmarkEnd w:id="133"/>
      <w:bookmarkEnd w:id="134"/>
      <w:bookmarkEnd w:id="135"/>
      <w:bookmarkEnd w:id="136"/>
      <w:bookmarkEnd w:id="137"/>
      <w:bookmarkEnd w:id="138"/>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和投标文件中的商业和技术等秘密保密，违者应对由此造成的后果承担法律责任。</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39" w:name="_Toc287607754"/>
      <w:bookmarkStart w:id="140" w:name="_Toc430530443"/>
      <w:bookmarkStart w:id="141" w:name="_Toc287620693"/>
      <w:bookmarkStart w:id="142" w:name="_Toc509218718"/>
      <w:bookmarkStart w:id="143" w:name="_Toc41900008"/>
      <w:bookmarkStart w:id="144" w:name="_Toc277082560"/>
      <w:bookmarkStart w:id="145" w:name="_Toc224103325"/>
      <w:bookmarkStart w:id="146" w:name="_Toc200513134"/>
      <w:r>
        <w:rPr>
          <w:rFonts w:ascii="宋体" w:hAnsi="宋体"/>
          <w:b w:val="0"/>
          <w:snapToGrid w:val="0"/>
          <w:color w:val="auto"/>
          <w:sz w:val="24"/>
          <w:szCs w:val="24"/>
          <w:highlight w:val="none"/>
        </w:rPr>
        <w:t>1.7  语言文字</w:t>
      </w:r>
      <w:bookmarkEnd w:id="139"/>
      <w:bookmarkEnd w:id="140"/>
      <w:bookmarkEnd w:id="141"/>
      <w:bookmarkEnd w:id="142"/>
      <w:bookmarkEnd w:id="143"/>
      <w:bookmarkEnd w:id="144"/>
      <w:bookmarkEnd w:id="145"/>
      <w:bookmarkEnd w:id="14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47" w:name="_Toc509218719"/>
      <w:bookmarkStart w:id="148" w:name="_Toc200513135"/>
      <w:bookmarkStart w:id="149" w:name="_Toc287607755"/>
      <w:bookmarkStart w:id="150" w:name="_Toc224103326"/>
      <w:bookmarkStart w:id="151" w:name="_Toc277082561"/>
      <w:bookmarkStart w:id="152" w:name="_Toc430530444"/>
      <w:bookmarkStart w:id="153" w:name="_Toc287620694"/>
      <w:bookmarkStart w:id="154" w:name="_Toc41900009"/>
      <w:r>
        <w:rPr>
          <w:rFonts w:ascii="宋体" w:hAnsi="宋体"/>
          <w:b w:val="0"/>
          <w:snapToGrid w:val="0"/>
          <w:color w:val="auto"/>
          <w:sz w:val="24"/>
          <w:szCs w:val="24"/>
          <w:highlight w:val="none"/>
        </w:rPr>
        <w:t>1.8  计量单位</w:t>
      </w:r>
      <w:bookmarkEnd w:id="147"/>
      <w:bookmarkEnd w:id="148"/>
      <w:bookmarkEnd w:id="149"/>
      <w:bookmarkEnd w:id="150"/>
      <w:bookmarkEnd w:id="151"/>
      <w:bookmarkEnd w:id="152"/>
      <w:bookmarkEnd w:id="153"/>
      <w:bookmarkEnd w:id="154"/>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55" w:name="_Toc41900010"/>
      <w:bookmarkStart w:id="156" w:name="_Toc509218720"/>
      <w:bookmarkStart w:id="157" w:name="_Toc200513136"/>
      <w:bookmarkStart w:id="158" w:name="_Toc224103327"/>
      <w:bookmarkStart w:id="159" w:name="_Toc287620695"/>
      <w:bookmarkStart w:id="160" w:name="_Toc430530445"/>
      <w:bookmarkStart w:id="161" w:name="_Toc277082562"/>
      <w:bookmarkStart w:id="162" w:name="_Toc287607756"/>
      <w:r>
        <w:rPr>
          <w:rFonts w:ascii="宋体" w:hAnsi="宋体"/>
          <w:b w:val="0"/>
          <w:snapToGrid w:val="0"/>
          <w:color w:val="auto"/>
          <w:sz w:val="24"/>
          <w:szCs w:val="24"/>
          <w:highlight w:val="none"/>
        </w:rPr>
        <w:t>1.9  踏勘现场</w:t>
      </w:r>
      <w:bookmarkEnd w:id="155"/>
      <w:bookmarkEnd w:id="156"/>
      <w:bookmarkEnd w:id="157"/>
      <w:bookmarkEnd w:id="158"/>
      <w:bookmarkEnd w:id="159"/>
      <w:bookmarkEnd w:id="160"/>
      <w:bookmarkEnd w:id="161"/>
      <w:bookmarkEnd w:id="16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按投标人须知前附表规定的时间、地点组织投标人踏勘项目现场。</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的原因外，投标人自行负责在踏勘现场中所发生的人员伤亡和财产损失。</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在踏勘现场中介绍的工程场地和相关的周边环境情况，供投标人在编制投标文件时参考，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不对投标人据此做出的判断和决策负责。</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63" w:name="_Toc277082563"/>
      <w:bookmarkStart w:id="164" w:name="_Toc509218721"/>
      <w:bookmarkStart w:id="165" w:name="_Toc41900011"/>
      <w:bookmarkStart w:id="166" w:name="_Toc224103328"/>
      <w:bookmarkStart w:id="167" w:name="_Toc287607757"/>
      <w:bookmarkStart w:id="168" w:name="_Toc430530446"/>
      <w:bookmarkStart w:id="169" w:name="_Toc200513137"/>
      <w:bookmarkStart w:id="170" w:name="_Toc287620696"/>
      <w:r>
        <w:rPr>
          <w:rFonts w:ascii="宋体" w:hAnsi="宋体"/>
          <w:b w:val="0"/>
          <w:snapToGrid w:val="0"/>
          <w:color w:val="auto"/>
          <w:sz w:val="24"/>
          <w:szCs w:val="24"/>
          <w:highlight w:val="none"/>
        </w:rPr>
        <w:t>1.10  投标预备会</w:t>
      </w:r>
      <w:bookmarkEnd w:id="163"/>
      <w:bookmarkEnd w:id="164"/>
      <w:bookmarkEnd w:id="165"/>
      <w:bookmarkEnd w:id="166"/>
      <w:bookmarkEnd w:id="167"/>
      <w:bookmarkEnd w:id="168"/>
      <w:bookmarkEnd w:id="169"/>
      <w:bookmarkEnd w:id="170"/>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w:t>
      </w:r>
      <w:r>
        <w:rPr>
          <w:rFonts w:ascii="宋体" w:hAnsi="宋体"/>
          <w:color w:val="auto"/>
          <w:kern w:val="0"/>
          <w:szCs w:val="21"/>
          <w:highlight w:val="none"/>
        </w:rPr>
        <w:t>2.2.4</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澄清。</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在投标人须知前附表规定的时间内，将对投标人所提的问题进行澄清。该澄清内容为</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bookmarkStart w:id="171" w:name="_Toc41900012"/>
      <w:bookmarkStart w:id="172" w:name="_Toc200513138"/>
      <w:bookmarkStart w:id="173" w:name="_Toc277082564"/>
      <w:bookmarkStart w:id="174" w:name="_Toc509218722"/>
      <w:bookmarkStart w:id="175" w:name="_Toc224103329"/>
      <w:bookmarkStart w:id="176" w:name="_Toc287620697"/>
      <w:bookmarkStart w:id="177" w:name="_Toc287607758"/>
      <w:bookmarkStart w:id="178" w:name="_Toc430530447"/>
      <w:r>
        <w:rPr>
          <w:rFonts w:ascii="宋体" w:hAnsi="宋体"/>
          <w:snapToGrid w:val="0"/>
          <w:color w:val="auto"/>
          <w:kern w:val="0"/>
          <w:szCs w:val="21"/>
          <w:highlight w:val="none"/>
        </w:rPr>
        <w:t>1.11  分包</w:t>
      </w:r>
      <w:bookmarkEnd w:id="171"/>
      <w:bookmarkEnd w:id="172"/>
      <w:bookmarkEnd w:id="173"/>
      <w:bookmarkEnd w:id="174"/>
      <w:bookmarkEnd w:id="175"/>
      <w:bookmarkEnd w:id="176"/>
      <w:bookmarkEnd w:id="177"/>
      <w:bookmarkEnd w:id="178"/>
    </w:p>
    <w:p>
      <w:pPr>
        <w:pageBreakBefore w:val="0"/>
        <w:kinsoku/>
        <w:wordWrap/>
        <w:overflowPunct/>
        <w:topLinePunct w:val="0"/>
        <w:autoSpaceDE w:val="0"/>
        <w:autoSpaceDN w:val="0"/>
        <w:bidi w:val="0"/>
        <w:adjustRightInd w:val="0"/>
        <w:snapToGrid w:val="0"/>
        <w:spacing w:line="330" w:lineRule="exact"/>
        <w:ind w:firstLine="426"/>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79" w:name="_Toc430530448"/>
      <w:bookmarkStart w:id="180" w:name="_Toc287607759"/>
      <w:bookmarkStart w:id="181" w:name="_Toc287620698"/>
      <w:bookmarkStart w:id="182" w:name="_Toc41900013"/>
      <w:bookmarkStart w:id="183" w:name="_Toc200513139"/>
      <w:bookmarkStart w:id="184" w:name="_Toc509218723"/>
      <w:bookmarkStart w:id="185" w:name="_Toc277082565"/>
      <w:bookmarkStart w:id="186" w:name="_Toc224103330"/>
      <w:r>
        <w:rPr>
          <w:rFonts w:ascii="宋体" w:hAnsi="宋体"/>
          <w:b w:val="0"/>
          <w:snapToGrid w:val="0"/>
          <w:color w:val="auto"/>
          <w:sz w:val="24"/>
          <w:szCs w:val="24"/>
          <w:highlight w:val="none"/>
        </w:rPr>
        <w:t>1.12  偏离</w:t>
      </w:r>
      <w:bookmarkEnd w:id="179"/>
      <w:bookmarkEnd w:id="180"/>
      <w:bookmarkEnd w:id="181"/>
      <w:bookmarkEnd w:id="182"/>
      <w:bookmarkEnd w:id="183"/>
      <w:bookmarkEnd w:id="184"/>
      <w:bookmarkEnd w:id="185"/>
      <w:bookmarkEnd w:id="18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规定的偏离范围和幅度。</w:t>
      </w:r>
    </w:p>
    <w:p>
      <w:pPr>
        <w:pStyle w:val="4"/>
        <w:pageBreakBefore w:val="0"/>
        <w:kinsoku/>
        <w:wordWrap/>
        <w:overflowPunct/>
        <w:topLinePunct w:val="0"/>
        <w:bidi w:val="0"/>
        <w:spacing w:before="0" w:after="0" w:line="330" w:lineRule="exact"/>
        <w:textAlignment w:val="auto"/>
        <w:rPr>
          <w:rFonts w:hint="eastAsia" w:ascii="宋体" w:hAnsi="宋体" w:eastAsia="宋体"/>
          <w:b w:val="0"/>
          <w:snapToGrid w:val="0"/>
          <w:color w:val="auto"/>
          <w:highlight w:val="none"/>
          <w:lang w:eastAsia="zh-CN"/>
        </w:rPr>
      </w:pPr>
      <w:bookmarkStart w:id="187" w:name="_Toc200513140"/>
      <w:bookmarkStart w:id="188" w:name="_Toc287607760"/>
      <w:bookmarkStart w:id="189" w:name="_Toc430530449"/>
      <w:bookmarkStart w:id="190" w:name="_Toc224103331"/>
      <w:bookmarkStart w:id="191" w:name="_Toc287620699"/>
      <w:bookmarkStart w:id="192" w:name="_Toc509218724"/>
      <w:bookmarkStart w:id="193" w:name="_Toc277082566"/>
      <w:bookmarkStart w:id="194" w:name="_Toc41900014"/>
      <w:r>
        <w:rPr>
          <w:rFonts w:ascii="宋体" w:hAnsi="宋体"/>
          <w:b w:val="0"/>
          <w:snapToGrid w:val="0"/>
          <w:color w:val="auto"/>
          <w:highlight w:val="none"/>
        </w:rPr>
        <w:t xml:space="preserve">2.  </w:t>
      </w:r>
      <w:bookmarkEnd w:id="187"/>
      <w:bookmarkEnd w:id="188"/>
      <w:bookmarkEnd w:id="189"/>
      <w:bookmarkEnd w:id="190"/>
      <w:bookmarkEnd w:id="191"/>
      <w:bookmarkEnd w:id="192"/>
      <w:bookmarkEnd w:id="193"/>
      <w:bookmarkEnd w:id="194"/>
      <w:r>
        <w:rPr>
          <w:rFonts w:hint="eastAsia" w:ascii="宋体" w:hAnsi="宋体"/>
          <w:b w:val="0"/>
          <w:snapToGrid w:val="0"/>
          <w:color w:val="auto"/>
          <w:highlight w:val="none"/>
          <w:lang w:eastAsia="zh-CN"/>
        </w:rPr>
        <w:t>比选文件</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95" w:name="_Toc224103332"/>
      <w:bookmarkStart w:id="196" w:name="_Toc277082567"/>
      <w:bookmarkStart w:id="197" w:name="_Toc287607761"/>
      <w:bookmarkStart w:id="198" w:name="_Toc41900015"/>
      <w:bookmarkStart w:id="199" w:name="_Toc200513141"/>
      <w:bookmarkStart w:id="200" w:name="_Toc509218725"/>
      <w:bookmarkStart w:id="201" w:name="_Toc287620700"/>
      <w:bookmarkStart w:id="202" w:name="_Toc430530450"/>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195"/>
      <w:bookmarkEnd w:id="196"/>
      <w:bookmarkEnd w:id="197"/>
      <w:bookmarkEnd w:id="198"/>
      <w:bookmarkEnd w:id="199"/>
      <w:bookmarkEnd w:id="200"/>
      <w:bookmarkEnd w:id="201"/>
      <w:bookmarkEnd w:id="202"/>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公告；</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（6）图纸；</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（8）投标文件格式；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03" w:name="_Toc430530451"/>
      <w:bookmarkStart w:id="204" w:name="_Toc41900016"/>
      <w:bookmarkStart w:id="205"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203"/>
      <w:bookmarkEnd w:id="204"/>
      <w:bookmarkEnd w:id="20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提出，以便补齐。如有疑问，应在投标人须知前附表规定的时间前，</w:t>
      </w:r>
      <w:r>
        <w:rPr>
          <w:rFonts w:hint="eastAsia" w:ascii="宋体" w:hAnsi="宋体"/>
          <w:snapToGrid w:val="0"/>
          <w:color w:val="auto"/>
          <w:kern w:val="0"/>
          <w:highlight w:val="none"/>
        </w:rPr>
        <w:t>及时将其质疑</w:t>
      </w:r>
      <w:r>
        <w:rPr>
          <w:rFonts w:hint="eastAsia" w:ascii="宋体" w:hAnsi="宋体"/>
          <w:color w:val="auto"/>
          <w:kern w:val="0"/>
          <w:highlight w:val="none"/>
        </w:rPr>
        <w:t>以</w:t>
      </w:r>
      <w:r>
        <w:rPr>
          <w:rFonts w:hint="eastAsia" w:ascii="宋体" w:hAnsi="宋体"/>
          <w:szCs w:val="21"/>
          <w:highlight w:val="none"/>
        </w:rPr>
        <w:t>书面</w:t>
      </w:r>
      <w:r>
        <w:rPr>
          <w:rFonts w:hint="eastAsia" w:ascii="宋体" w:hAnsi="宋体"/>
          <w:color w:val="auto"/>
          <w:kern w:val="0"/>
          <w:highlight w:val="none"/>
        </w:rPr>
        <w:t>的形式</w:t>
      </w:r>
      <w:r>
        <w:rPr>
          <w:rFonts w:ascii="宋体" w:hAnsi="宋体"/>
          <w:szCs w:val="21"/>
          <w:highlight w:val="none"/>
        </w:rPr>
        <w:t>向比选人</w:t>
      </w:r>
      <w:r>
        <w:rPr>
          <w:rFonts w:hint="eastAsia" w:ascii="宋体" w:hAnsi="宋体"/>
          <w:szCs w:val="21"/>
          <w:highlight w:val="none"/>
        </w:rPr>
        <w:t>提出</w:t>
      </w:r>
      <w:r>
        <w:rPr>
          <w:rFonts w:hint="eastAsia" w:ascii="宋体" w:hAnsi="宋体"/>
          <w:snapToGrid w:val="0"/>
          <w:color w:val="auto"/>
          <w:kern w:val="0"/>
          <w:highlight w:val="none"/>
        </w:rPr>
        <w:t>，要求</w:t>
      </w:r>
      <w:r>
        <w:rPr>
          <w:rFonts w:hint="eastAsia" w:ascii="宋体" w:hAnsi="宋体"/>
          <w:snapToGrid w:val="0"/>
          <w:color w:val="auto"/>
          <w:kern w:val="0"/>
          <w:highlight w:val="none"/>
          <w:lang w:eastAsia="zh-CN"/>
        </w:rPr>
        <w:t>比选人</w:t>
      </w:r>
      <w:r>
        <w:rPr>
          <w:rFonts w:hint="eastAsia" w:ascii="宋体" w:hAnsi="宋体"/>
          <w:snapToGrid w:val="0"/>
          <w:color w:val="auto"/>
          <w:kern w:val="0"/>
          <w:highlight w:val="none"/>
        </w:rPr>
        <w:t>对</w:t>
      </w:r>
      <w:r>
        <w:rPr>
          <w:rFonts w:hint="eastAsia" w:ascii="宋体" w:hAnsi="宋体"/>
          <w:snapToGrid w:val="0"/>
          <w:color w:val="auto"/>
          <w:kern w:val="0"/>
          <w:highlight w:val="none"/>
          <w:lang w:eastAsia="zh-CN"/>
        </w:rPr>
        <w:t>比选文件</w:t>
      </w:r>
      <w:r>
        <w:rPr>
          <w:rFonts w:hint="eastAsia" w:ascii="宋体" w:hAnsi="宋体"/>
          <w:snapToGrid w:val="0"/>
          <w:color w:val="auto"/>
          <w:kern w:val="0"/>
          <w:highlight w:val="none"/>
        </w:rPr>
        <w:t>予以澄清</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color w:val="auto"/>
          <w:szCs w:val="22"/>
          <w:highlight w:val="none"/>
        </w:rPr>
        <w:t>比选文件的澄清将在</w:t>
      </w:r>
      <w:r>
        <w:rPr>
          <w:rFonts w:hint="eastAsia" w:ascii="宋体" w:hAnsi="宋体"/>
          <w:color w:val="auto"/>
          <w:szCs w:val="22"/>
          <w:highlight w:val="none"/>
          <w:lang w:eastAsia="zh-CN"/>
        </w:rPr>
        <w:t>投标</w:t>
      </w:r>
      <w:r>
        <w:rPr>
          <w:rFonts w:hint="eastAsia" w:ascii="宋体" w:hAnsi="宋体"/>
          <w:color w:val="auto"/>
          <w:szCs w:val="22"/>
          <w:highlight w:val="none"/>
        </w:rPr>
        <w:t>人须知前附表规定的</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hint="eastAsia" w:ascii="宋体" w:hAnsi="宋体"/>
          <w:color w:val="auto"/>
          <w:szCs w:val="22"/>
          <w:highlight w:val="none"/>
          <w:lang w:val="en-US" w:eastAsia="zh-CN"/>
        </w:rPr>
        <w:t>1</w:t>
      </w:r>
      <w:r>
        <w:rPr>
          <w:rFonts w:hint="eastAsia" w:ascii="宋体" w:hAnsi="宋体"/>
          <w:color w:val="auto"/>
          <w:szCs w:val="22"/>
          <w:highlight w:val="none"/>
        </w:rPr>
        <w:t>天前，在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w:t>
      </w:r>
      <w:r>
        <w:rPr>
          <w:rFonts w:hint="eastAsia" w:ascii="宋体" w:hAnsi="宋体"/>
          <w:color w:val="auto"/>
          <w:szCs w:val="22"/>
          <w:highlight w:val="none"/>
          <w:lang w:val="en-US" w:eastAsia="zh-CN"/>
        </w:rPr>
        <w:t>发布</w:t>
      </w:r>
      <w:r>
        <w:rPr>
          <w:rFonts w:hint="eastAsia" w:ascii="宋体" w:hAnsi="宋体"/>
          <w:color w:val="auto"/>
          <w:szCs w:val="22"/>
          <w:highlight w:val="none"/>
        </w:rPr>
        <w:t>，但不指明澄清问题的来源。如果澄清发出的时间距</w:t>
      </w:r>
      <w:r>
        <w:rPr>
          <w:rFonts w:hint="eastAsia" w:ascii="宋体" w:hAnsi="宋体"/>
          <w:color w:val="auto"/>
          <w:szCs w:val="22"/>
          <w:highlight w:val="none"/>
          <w:lang w:eastAsia="zh-CN"/>
        </w:rPr>
        <w:t>投标</w:t>
      </w:r>
      <w:r>
        <w:rPr>
          <w:rFonts w:hint="eastAsia" w:ascii="宋体" w:hAnsi="宋体"/>
          <w:color w:val="auto"/>
          <w:szCs w:val="22"/>
          <w:highlight w:val="none"/>
        </w:rPr>
        <w:t>截止时间不足</w:t>
      </w:r>
      <w:r>
        <w:rPr>
          <w:rFonts w:hint="eastAsia" w:ascii="宋体" w:hAnsi="宋体"/>
          <w:color w:val="auto"/>
          <w:szCs w:val="22"/>
          <w:highlight w:val="none"/>
          <w:lang w:val="en-US" w:eastAsia="zh-CN"/>
        </w:rPr>
        <w:t>1</w:t>
      </w:r>
      <w:r>
        <w:rPr>
          <w:rFonts w:hint="eastAsia" w:ascii="宋体" w:hAnsi="宋体"/>
          <w:color w:val="auto"/>
          <w:szCs w:val="22"/>
          <w:highlight w:val="none"/>
        </w:rPr>
        <w:t>天且影响</w:t>
      </w:r>
      <w:r>
        <w:rPr>
          <w:rFonts w:hint="eastAsia" w:ascii="宋体" w:hAnsi="宋体"/>
          <w:color w:val="auto"/>
          <w:szCs w:val="22"/>
          <w:highlight w:val="none"/>
          <w:lang w:eastAsia="zh-CN"/>
        </w:rPr>
        <w:t>投标</w:t>
      </w:r>
      <w:r>
        <w:rPr>
          <w:rFonts w:hint="eastAsia" w:ascii="宋体" w:hAnsi="宋体"/>
          <w:color w:val="auto"/>
          <w:szCs w:val="22"/>
          <w:highlight w:val="none"/>
        </w:rPr>
        <w:t>文件编制的，相应延长</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w:t>
      </w:r>
      <w:r>
        <w:rPr>
          <w:rFonts w:ascii="宋体" w:hAnsi="宋体"/>
          <w:snapToGrid w:val="0"/>
          <w:color w:val="auto"/>
          <w:kern w:val="0"/>
          <w:szCs w:val="21"/>
          <w:highlight w:val="none"/>
        </w:rPr>
        <w:t>补遗内容可能影响投标文件编制的，须在投标截止时间</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1日</w:t>
      </w:r>
      <w:r>
        <w:rPr>
          <w:rFonts w:ascii="宋体" w:hAnsi="宋体"/>
          <w:snapToGrid w:val="0"/>
          <w:color w:val="auto"/>
          <w:kern w:val="0"/>
          <w:szCs w:val="21"/>
          <w:highlight w:val="none"/>
        </w:rPr>
        <w:t>的，须相应延后投标截止时间。</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2.2.4  </w:t>
      </w:r>
      <w:r>
        <w:rPr>
          <w:rFonts w:hint="eastAsia" w:ascii="宋体" w:hAnsi="宋体"/>
          <w:color w:val="auto"/>
          <w:szCs w:val="22"/>
          <w:highlight w:val="none"/>
        </w:rPr>
        <w:t>凡有意参加</w:t>
      </w:r>
      <w:r>
        <w:rPr>
          <w:rFonts w:hint="eastAsia" w:ascii="宋体" w:hAnsi="宋体"/>
          <w:color w:val="auto"/>
          <w:szCs w:val="22"/>
          <w:highlight w:val="none"/>
          <w:lang w:eastAsia="zh-CN"/>
        </w:rPr>
        <w:t>投标</w:t>
      </w:r>
      <w:r>
        <w:rPr>
          <w:rFonts w:hint="eastAsia" w:ascii="宋体" w:hAnsi="宋体"/>
          <w:color w:val="auto"/>
          <w:szCs w:val="22"/>
          <w:highlight w:val="none"/>
        </w:rPr>
        <w:t>者，从本项目比选公告发布之日起，请随时关注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olor w:val="auto"/>
          <w:szCs w:val="22"/>
          <w:highlight w:val="none"/>
          <w:lang w:eastAsia="zh-CN"/>
        </w:rPr>
        <w:t>，</w:t>
      </w:r>
      <w:r>
        <w:rPr>
          <w:rFonts w:hint="eastAsia" w:ascii="宋体" w:hAnsi="宋体"/>
          <w:color w:val="auto"/>
          <w:szCs w:val="22"/>
          <w:highlight w:val="none"/>
        </w:rPr>
        <w:t>并自行</w:t>
      </w:r>
      <w:r>
        <w:rPr>
          <w:rFonts w:hint="eastAsia" w:ascii="宋体" w:hAnsi="宋体"/>
          <w:color w:val="auto"/>
          <w:szCs w:val="22"/>
          <w:highlight w:val="none"/>
          <w:lang w:val="en-US" w:eastAsia="zh-CN"/>
        </w:rPr>
        <w:t>在比选代理机构处获取</w:t>
      </w:r>
      <w:r>
        <w:rPr>
          <w:rFonts w:hint="eastAsia" w:ascii="宋体" w:hAnsi="宋体"/>
          <w:color w:val="auto"/>
          <w:szCs w:val="22"/>
          <w:highlight w:val="none"/>
        </w:rPr>
        <w:t>本比选项目的比选澄清等开标前资料，比选人不再另行通知，不论</w:t>
      </w:r>
      <w:r>
        <w:rPr>
          <w:rFonts w:hint="eastAsia" w:ascii="宋体" w:hAnsi="宋体"/>
          <w:color w:val="auto"/>
          <w:szCs w:val="22"/>
          <w:highlight w:val="none"/>
          <w:lang w:eastAsia="zh-CN"/>
        </w:rPr>
        <w:t>投标</w:t>
      </w:r>
      <w:r>
        <w:rPr>
          <w:rFonts w:hint="eastAsia" w:ascii="宋体" w:hAnsi="宋体"/>
          <w:color w:val="auto"/>
          <w:szCs w:val="22"/>
          <w:highlight w:val="none"/>
        </w:rPr>
        <w:t>人</w:t>
      </w:r>
      <w:r>
        <w:rPr>
          <w:rFonts w:hint="eastAsia" w:ascii="宋体" w:hAnsi="宋体"/>
          <w:color w:val="auto"/>
          <w:szCs w:val="22"/>
          <w:highlight w:val="none"/>
          <w:lang w:val="en-US" w:eastAsia="zh-CN"/>
        </w:rPr>
        <w:t>获取</w:t>
      </w:r>
      <w:r>
        <w:rPr>
          <w:rFonts w:hint="eastAsia" w:ascii="宋体" w:hAnsi="宋体"/>
          <w:color w:val="auto"/>
          <w:szCs w:val="22"/>
          <w:highlight w:val="none"/>
        </w:rPr>
        <w:t>与否，比选人和比选代理机构均视为</w:t>
      </w:r>
      <w:r>
        <w:rPr>
          <w:rFonts w:hint="eastAsia" w:ascii="宋体" w:hAnsi="宋体"/>
          <w:color w:val="auto"/>
          <w:szCs w:val="22"/>
          <w:highlight w:val="none"/>
          <w:lang w:eastAsia="zh-CN"/>
        </w:rPr>
        <w:t>投标</w:t>
      </w:r>
      <w:r>
        <w:rPr>
          <w:rFonts w:hint="eastAsia" w:ascii="宋体" w:hAnsi="宋体"/>
          <w:color w:val="auto"/>
          <w:szCs w:val="22"/>
          <w:highlight w:val="none"/>
        </w:rPr>
        <w:t>人已知晓比选</w:t>
      </w:r>
      <w:r>
        <w:rPr>
          <w:rFonts w:hint="eastAsia" w:ascii="宋体" w:hAnsi="宋体"/>
          <w:color w:val="auto"/>
          <w:highlight w:val="none"/>
        </w:rPr>
        <w:t>人对比选文件作出的澄清</w:t>
      </w:r>
      <w:r>
        <w:rPr>
          <w:rFonts w:ascii="宋体" w:hAnsi="宋体"/>
          <w:snapToGrid w:val="0"/>
          <w:color w:val="auto"/>
          <w:kern w:val="0"/>
          <w:szCs w:val="21"/>
          <w:highlight w:val="none"/>
        </w:rPr>
        <w:t>。</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06" w:name="_Toc287620702"/>
      <w:bookmarkStart w:id="207" w:name="_Toc224103334"/>
      <w:bookmarkStart w:id="208" w:name="_Toc200513143"/>
      <w:bookmarkStart w:id="209" w:name="_Toc287607763"/>
      <w:bookmarkStart w:id="210" w:name="_Toc430530452"/>
      <w:bookmarkStart w:id="211" w:name="_Toc509218727"/>
      <w:bookmarkStart w:id="212" w:name="_Toc41900017"/>
      <w:bookmarkStart w:id="213" w:name="_Toc277082569"/>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206"/>
      <w:bookmarkEnd w:id="207"/>
      <w:bookmarkEnd w:id="208"/>
      <w:bookmarkEnd w:id="209"/>
      <w:bookmarkEnd w:id="210"/>
      <w:bookmarkEnd w:id="211"/>
      <w:bookmarkEnd w:id="212"/>
      <w:bookmarkEnd w:id="213"/>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highlight w:val="none"/>
        </w:rPr>
      </w:pPr>
      <w:bookmarkStart w:id="214" w:name="_Toc287620703"/>
      <w:bookmarkStart w:id="215" w:name="_Toc277082570"/>
      <w:bookmarkStart w:id="216" w:name="_Toc200513144"/>
      <w:bookmarkStart w:id="217" w:name="_Toc287607764"/>
      <w:bookmarkStart w:id="218" w:name="_Toc224103335"/>
      <w:r>
        <w:rPr>
          <w:rFonts w:ascii="宋体" w:hAnsi="宋体"/>
          <w:snapToGrid w:val="0"/>
          <w:color w:val="auto"/>
          <w:highlight w:val="none"/>
        </w:rPr>
        <w:t>按照本章2.2</w:t>
      </w:r>
      <w:r>
        <w:rPr>
          <w:rFonts w:hint="eastAsia" w:ascii="宋体" w:hAnsi="宋体"/>
          <w:snapToGrid w:val="0"/>
          <w:color w:val="auto"/>
          <w:highlight w:val="none"/>
          <w:lang w:eastAsia="zh-CN"/>
        </w:rPr>
        <w:t>比选文件</w:t>
      </w:r>
      <w:r>
        <w:rPr>
          <w:rFonts w:ascii="宋体" w:hAnsi="宋体"/>
          <w:snapToGrid w:val="0"/>
          <w:color w:val="auto"/>
          <w:highlight w:val="none"/>
        </w:rPr>
        <w:t>的澄清相关内容及方式执行。</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19" w:name="_Toc430530453"/>
      <w:bookmarkStart w:id="220" w:name="_Toc41900018"/>
      <w:bookmarkStart w:id="221" w:name="_Toc509218728"/>
      <w:r>
        <w:rPr>
          <w:rFonts w:ascii="宋体" w:hAnsi="宋体"/>
          <w:b w:val="0"/>
          <w:snapToGrid w:val="0"/>
          <w:color w:val="auto"/>
          <w:highlight w:val="none"/>
        </w:rPr>
        <w:t>3.  投标文件</w:t>
      </w:r>
      <w:bookmarkEnd w:id="214"/>
      <w:bookmarkEnd w:id="215"/>
      <w:bookmarkEnd w:id="216"/>
      <w:bookmarkEnd w:id="217"/>
      <w:bookmarkEnd w:id="218"/>
      <w:bookmarkEnd w:id="219"/>
      <w:bookmarkEnd w:id="220"/>
      <w:bookmarkEnd w:id="221"/>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22" w:name="_Toc224103336"/>
      <w:bookmarkStart w:id="223" w:name="_Toc509218729"/>
      <w:bookmarkStart w:id="224" w:name="_Toc277082571"/>
      <w:bookmarkStart w:id="225" w:name="_Toc287620704"/>
      <w:bookmarkStart w:id="226" w:name="_Toc287607765"/>
      <w:bookmarkStart w:id="227" w:name="_Toc430530454"/>
      <w:bookmarkStart w:id="228" w:name="_Toc41900019"/>
      <w:bookmarkStart w:id="229" w:name="_Toc200513145"/>
      <w:r>
        <w:rPr>
          <w:rFonts w:ascii="宋体" w:hAnsi="宋体"/>
          <w:b w:val="0"/>
          <w:snapToGrid w:val="0"/>
          <w:color w:val="auto"/>
          <w:sz w:val="24"/>
          <w:szCs w:val="24"/>
          <w:highlight w:val="none"/>
        </w:rPr>
        <w:t>3.1  投标文件的组成</w:t>
      </w:r>
      <w:bookmarkEnd w:id="222"/>
      <w:bookmarkEnd w:id="223"/>
      <w:bookmarkEnd w:id="224"/>
      <w:bookmarkEnd w:id="225"/>
      <w:bookmarkEnd w:id="226"/>
      <w:bookmarkEnd w:id="227"/>
      <w:bookmarkEnd w:id="228"/>
      <w:bookmarkEnd w:id="22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3.1.1.1投标函部分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（1）投标函</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（2）投标函附录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（3）法定代表人身份证明或附有法定代表人身份证明的授权委托书</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w:t>
      </w:r>
      <w:r>
        <w:rPr>
          <w:rFonts w:hint="eastAsia" w:ascii="宋体" w:hAnsi="宋体" w:cs="MingLiUfalt"/>
          <w:snapToGrid w:val="0"/>
          <w:kern w:val="0"/>
          <w:szCs w:val="21"/>
        </w:rPr>
        <w:t>低价风险担保交纳承诺书（如有）</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3.1.1.3</w:t>
      </w:r>
      <w:r>
        <w:rPr>
          <w:rFonts w:hint="eastAsia" w:ascii="宋体" w:hAnsi="宋体"/>
          <w:snapToGrid w:val="0"/>
          <w:color w:val="auto"/>
          <w:kern w:val="0"/>
          <w:szCs w:val="21"/>
          <w:highlight w:val="none"/>
          <w:lang w:val="en-US" w:eastAsia="zh-CN"/>
        </w:rPr>
        <w:t xml:space="preserve"> 商务</w:t>
      </w:r>
      <w:r>
        <w:rPr>
          <w:rFonts w:hint="eastAsia" w:ascii="宋体" w:hAnsi="宋体"/>
          <w:snapToGrid w:val="0"/>
          <w:color w:val="auto"/>
          <w:kern w:val="0"/>
          <w:szCs w:val="21"/>
          <w:highlight w:val="none"/>
        </w:rPr>
        <w:t>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（1）已标价工程量清单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3.1.1.4</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资格审查部分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（1）法定代表人身份证明或附有法定代表人身份证明的授权委托书</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（2）联合体协议书（如有）</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（3）投标人基本情况表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（4）项目管理机构</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（5）近年财务状况表</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（6）类似项目情况表</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（7）承诺</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（8）其他资料</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投标人须知前附表规定不接受联合体投标的，或投标人没有组成联合体的，投标文件不包括本章第3.1.1（3）目所指的联合体协议书。</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30" w:name="_Toc509218730"/>
      <w:bookmarkStart w:id="231" w:name="_Toc287620705"/>
      <w:bookmarkStart w:id="232" w:name="_Toc430530455"/>
      <w:bookmarkStart w:id="233" w:name="_Toc277082572"/>
      <w:bookmarkStart w:id="234" w:name="_Toc287607766"/>
      <w:bookmarkStart w:id="235" w:name="_Toc41900020"/>
      <w:bookmarkStart w:id="236" w:name="_Toc200513146"/>
      <w:bookmarkStart w:id="237" w:name="_Toc224103337"/>
      <w:r>
        <w:rPr>
          <w:rFonts w:ascii="宋体" w:hAnsi="宋体"/>
          <w:b w:val="0"/>
          <w:snapToGrid w:val="0"/>
          <w:color w:val="auto"/>
          <w:sz w:val="24"/>
          <w:szCs w:val="24"/>
          <w:highlight w:val="none"/>
        </w:rPr>
        <w:t>3.2  投标报价</w:t>
      </w:r>
      <w:bookmarkEnd w:id="230"/>
      <w:bookmarkEnd w:id="231"/>
      <w:bookmarkEnd w:id="232"/>
      <w:bookmarkEnd w:id="233"/>
      <w:bookmarkEnd w:id="234"/>
      <w:bookmarkEnd w:id="235"/>
      <w:bookmarkEnd w:id="236"/>
      <w:bookmarkEnd w:id="23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38" w:name="_Toc41900021"/>
      <w:bookmarkStart w:id="239" w:name="_Toc430530456"/>
      <w:bookmarkStart w:id="240" w:name="_Toc200513147"/>
      <w:bookmarkStart w:id="241" w:name="_Toc509218731"/>
      <w:bookmarkStart w:id="242" w:name="_Toc287620706"/>
      <w:bookmarkStart w:id="243" w:name="_Toc287607767"/>
      <w:bookmarkStart w:id="244" w:name="_Toc277082573"/>
      <w:bookmarkStart w:id="245" w:name="_Toc224103338"/>
      <w:r>
        <w:rPr>
          <w:rFonts w:ascii="宋体" w:hAnsi="宋体"/>
          <w:b w:val="0"/>
          <w:snapToGrid w:val="0"/>
          <w:color w:val="auto"/>
          <w:sz w:val="24"/>
          <w:szCs w:val="24"/>
          <w:highlight w:val="none"/>
        </w:rPr>
        <w:t>3.3  投标有效期</w:t>
      </w:r>
      <w:bookmarkEnd w:id="238"/>
      <w:bookmarkEnd w:id="239"/>
      <w:bookmarkEnd w:id="240"/>
      <w:bookmarkEnd w:id="241"/>
      <w:bookmarkEnd w:id="242"/>
      <w:bookmarkEnd w:id="243"/>
      <w:bookmarkEnd w:id="244"/>
      <w:bookmarkEnd w:id="24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hint="eastAsia" w:ascii="宋体" w:hAnsi="宋体" w:eastAsia="宋体" w:cs="MingLiU"/>
          <w:snapToGrid w:val="0"/>
          <w:color w:val="auto"/>
          <w:kern w:val="0"/>
          <w:szCs w:val="21"/>
          <w:highlight w:val="none"/>
          <w:lang w:eastAsia="zh-CN"/>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有效期的，</w:t>
      </w:r>
      <w:r>
        <w:rPr>
          <w:rFonts w:hint="eastAsia" w:ascii="宋体" w:hAnsi="宋体"/>
          <w:snapToGrid w:val="0"/>
          <w:color w:val="auto"/>
          <w:kern w:val="0"/>
          <w:highlight w:val="none"/>
        </w:rPr>
        <w:t>比选人以书面形式通知所有</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人延长</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有效期。</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人同意延长的，应相应延长其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文件；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人拒绝延长的，其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人有权收回其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w:t>
      </w:r>
      <w:r>
        <w:rPr>
          <w:rFonts w:hint="eastAsia" w:ascii="宋体" w:hAnsi="宋体" w:cs="MingLiU"/>
          <w:snapToGrid w:val="0"/>
          <w:color w:val="auto"/>
          <w:kern w:val="0"/>
          <w:szCs w:val="21"/>
          <w:highlight w:val="none"/>
          <w:lang w:eastAsia="zh-CN"/>
        </w:rPr>
        <w:t>。</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46" w:name="_Toc224103339"/>
      <w:bookmarkStart w:id="247" w:name="_Toc287620707"/>
      <w:bookmarkStart w:id="248" w:name="_Toc430530457"/>
      <w:bookmarkStart w:id="249" w:name="_Toc287607768"/>
      <w:bookmarkStart w:id="250" w:name="_Toc200513148"/>
      <w:bookmarkStart w:id="251" w:name="_Toc277082574"/>
      <w:bookmarkStart w:id="252" w:name="_Toc509218732"/>
      <w:bookmarkStart w:id="253" w:name="_Toc41900022"/>
      <w:r>
        <w:rPr>
          <w:rFonts w:ascii="宋体" w:hAnsi="宋体"/>
          <w:b w:val="0"/>
          <w:snapToGrid w:val="0"/>
          <w:color w:val="auto"/>
          <w:sz w:val="24"/>
          <w:szCs w:val="24"/>
          <w:highlight w:val="none"/>
        </w:rPr>
        <w:t xml:space="preserve">3.4  </w:t>
      </w:r>
      <w:bookmarkEnd w:id="246"/>
      <w:bookmarkEnd w:id="247"/>
      <w:bookmarkEnd w:id="248"/>
      <w:bookmarkEnd w:id="249"/>
      <w:bookmarkEnd w:id="250"/>
      <w:bookmarkEnd w:id="251"/>
      <w:bookmarkEnd w:id="252"/>
      <w:r>
        <w:rPr>
          <w:rFonts w:ascii="宋体" w:hAnsi="宋体"/>
          <w:b w:val="0"/>
          <w:snapToGrid w:val="0"/>
          <w:color w:val="auto"/>
          <w:sz w:val="24"/>
          <w:szCs w:val="24"/>
          <w:highlight w:val="none"/>
        </w:rPr>
        <w:t>投标</w:t>
      </w:r>
      <w:r>
        <w:rPr>
          <w:rFonts w:hint="eastAsia" w:ascii="宋体" w:hAnsi="宋体"/>
          <w:b w:val="0"/>
          <w:snapToGrid w:val="0"/>
          <w:color w:val="auto"/>
          <w:sz w:val="24"/>
          <w:szCs w:val="24"/>
          <w:highlight w:val="none"/>
        </w:rPr>
        <w:t>保证金</w:t>
      </w:r>
      <w:bookmarkEnd w:id="25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人在递交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文件的同时，应按</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人须知前附表规定的金额、形式递交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文件的组成部分</w:t>
      </w:r>
      <w:r>
        <w:rPr>
          <w:rFonts w:ascii="宋体" w:hAnsi="宋体"/>
          <w:snapToGrid w:val="0"/>
          <w:color w:val="auto"/>
          <w:kern w:val="0"/>
          <w:szCs w:val="21"/>
          <w:highlight w:val="none"/>
        </w:rPr>
        <w:t>。联合体投标的，其投标保证金由牵头人递交，并应符合投标人须知前附表的规定。</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3.4.1项要求提交投标保证金的，其投标文件作否决投标处理。</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3.4.3  投标保证金退还：见投标人须知前附表</w:t>
      </w:r>
      <w:r>
        <w:rPr>
          <w:rFonts w:ascii="宋体" w:hAnsi="宋体"/>
          <w:snapToGrid w:val="0"/>
          <w:color w:val="auto"/>
          <w:kern w:val="0"/>
          <w:position w:val="-2"/>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（2）中标人在收到中标通知书后，无正当理由拒签合同协议书或未按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规定提交履约担保；</w:t>
      </w:r>
    </w:p>
    <w:p>
      <w:pPr>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（3）违反本章9.2条对投标人的纪律要求的；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（4）法律法规和本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规定的其他情形。</w:t>
      </w:r>
    </w:p>
    <w:p>
      <w:pPr>
        <w:pageBreakBefore w:val="0"/>
        <w:tabs>
          <w:tab w:val="left" w:pos="611"/>
          <w:tab w:val="left" w:pos="669"/>
        </w:tabs>
        <w:kinsoku/>
        <w:wordWrap/>
        <w:overflowPunct/>
        <w:topLinePunct w:val="0"/>
        <w:bidi w:val="0"/>
        <w:snapToGrid w:val="0"/>
        <w:spacing w:line="330" w:lineRule="exact"/>
        <w:ind w:firstLine="420" w:firstLineChars="200"/>
        <w:textAlignment w:val="auto"/>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pPr>
        <w:pageBreakBefore w:val="0"/>
        <w:tabs>
          <w:tab w:val="left" w:pos="611"/>
          <w:tab w:val="left" w:pos="669"/>
        </w:tabs>
        <w:kinsoku/>
        <w:wordWrap/>
        <w:overflowPunct/>
        <w:topLinePunct w:val="0"/>
        <w:bidi w:val="0"/>
        <w:snapToGrid w:val="0"/>
        <w:spacing w:line="330" w:lineRule="exact"/>
        <w:ind w:firstLine="945" w:firstLineChars="450"/>
        <w:textAlignment w:val="auto"/>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lang w:eastAsia="zh-CN"/>
        </w:rPr>
        <w:t>比选人</w:t>
      </w:r>
      <w:r>
        <w:rPr>
          <w:rFonts w:hint="eastAsia" w:ascii="宋体" w:hAnsi="宋体"/>
          <w:color w:val="auto"/>
          <w:kern w:val="0"/>
          <w:highlight w:val="none"/>
        </w:rPr>
        <w:t>。</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54" w:name="_Toc287607770"/>
      <w:bookmarkStart w:id="255" w:name="_Toc200513150"/>
      <w:bookmarkStart w:id="256" w:name="_Toc430530459"/>
      <w:bookmarkStart w:id="257" w:name="_Toc41900023"/>
      <w:bookmarkStart w:id="258" w:name="_Toc224103341"/>
      <w:bookmarkStart w:id="259" w:name="_Toc287620709"/>
      <w:bookmarkStart w:id="260" w:name="_Toc277082576"/>
      <w:bookmarkStart w:id="261" w:name="_Toc509218734"/>
      <w:r>
        <w:rPr>
          <w:rFonts w:ascii="宋体" w:hAnsi="宋体"/>
          <w:b w:val="0"/>
          <w:snapToGrid w:val="0"/>
          <w:color w:val="auto"/>
          <w:sz w:val="24"/>
          <w:szCs w:val="24"/>
          <w:highlight w:val="none"/>
        </w:rPr>
        <w:t>3.5  资格审查资料</w:t>
      </w:r>
      <w:bookmarkEnd w:id="254"/>
      <w:bookmarkEnd w:id="255"/>
      <w:bookmarkEnd w:id="256"/>
      <w:bookmarkEnd w:id="257"/>
      <w:bookmarkEnd w:id="258"/>
      <w:bookmarkEnd w:id="259"/>
      <w:bookmarkEnd w:id="260"/>
      <w:bookmarkEnd w:id="261"/>
    </w:p>
    <w:p>
      <w:pPr>
        <w:pageBreakBefore w:val="0"/>
        <w:kinsoku/>
        <w:wordWrap/>
        <w:overflowPunct/>
        <w:topLinePunct w:val="0"/>
        <w:autoSpaceDE w:val="0"/>
        <w:autoSpaceDN w:val="0"/>
        <w:bidi w:val="0"/>
        <w:adjustRightInd w:val="0"/>
        <w:snapToGrid w:val="0"/>
        <w:spacing w:line="330" w:lineRule="exact"/>
        <w:ind w:left="103" w:leftChars="49" w:right="37" w:firstLine="420" w:firstLineChars="200"/>
        <w:textAlignment w:val="auto"/>
        <w:rPr>
          <w:rFonts w:hint="eastAsia"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应附投标人须知前附表第1</w:t>
      </w:r>
      <w:r>
        <w:rPr>
          <w:rFonts w:ascii="宋体" w:hAnsi="宋体"/>
          <w:color w:val="auto"/>
          <w:szCs w:val="21"/>
          <w:highlight w:val="none"/>
        </w:rPr>
        <w:t>.4.1</w:t>
      </w:r>
      <w:r>
        <w:rPr>
          <w:rFonts w:hint="eastAsia" w:ascii="宋体" w:hAnsi="宋体"/>
          <w:color w:val="auto"/>
          <w:szCs w:val="21"/>
          <w:highlight w:val="none"/>
        </w:rPr>
        <w:t>项中要求的相关证明材料</w:t>
      </w:r>
      <w:r>
        <w:rPr>
          <w:rFonts w:ascii="宋体" w:hAnsi="宋体"/>
          <w:color w:val="auto"/>
          <w:szCs w:val="21"/>
          <w:highlight w:val="none"/>
        </w:rPr>
        <w:t>。</w:t>
      </w:r>
    </w:p>
    <w:p>
      <w:pPr>
        <w:pageBreakBefore w:val="0"/>
        <w:kinsoku/>
        <w:wordWrap/>
        <w:overflowPunct/>
        <w:topLinePunct w:val="0"/>
        <w:autoSpaceDE w:val="0"/>
        <w:autoSpaceDN w:val="0"/>
        <w:bidi w:val="0"/>
        <w:adjustRightInd w:val="0"/>
        <w:snapToGrid w:val="0"/>
        <w:spacing w:line="330" w:lineRule="exact"/>
        <w:ind w:left="103" w:leftChars="49" w:right="37" w:firstLine="420" w:firstLineChars="200"/>
        <w:textAlignment w:val="auto"/>
        <w:rPr>
          <w:rFonts w:ascii="宋体" w:hAnsi="宋体"/>
          <w:color w:val="auto"/>
          <w:szCs w:val="21"/>
          <w:highlight w:val="none"/>
        </w:rPr>
      </w:pPr>
      <w:r>
        <w:rPr>
          <w:rFonts w:hint="eastAsia" w:ascii="宋体" w:hAnsi="宋体"/>
          <w:color w:val="auto"/>
          <w:szCs w:val="21"/>
          <w:highlight w:val="none"/>
        </w:rPr>
        <w:t>投标人须知前附表规定接受联合体投标的，详见投标人须知前附表联合体投标相关内容</w:t>
      </w:r>
      <w:r>
        <w:rPr>
          <w:rFonts w:ascii="宋体" w:hAnsi="宋体"/>
          <w:color w:val="auto"/>
          <w:szCs w:val="21"/>
          <w:highlight w:val="none"/>
        </w:rPr>
        <w:t>。</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62" w:name="_Toc224103342"/>
      <w:bookmarkStart w:id="263" w:name="_Toc200513151"/>
      <w:bookmarkStart w:id="264" w:name="_Toc287620710"/>
      <w:bookmarkStart w:id="265" w:name="_Toc430530460"/>
      <w:bookmarkStart w:id="266" w:name="_Toc41900024"/>
      <w:bookmarkStart w:id="267" w:name="_Toc277082577"/>
      <w:bookmarkStart w:id="268" w:name="_Toc287607771"/>
      <w:bookmarkStart w:id="269" w:name="_Toc509218735"/>
      <w:r>
        <w:rPr>
          <w:rFonts w:ascii="宋体" w:hAnsi="宋体"/>
          <w:b w:val="0"/>
          <w:snapToGrid w:val="0"/>
          <w:color w:val="auto"/>
          <w:sz w:val="24"/>
          <w:szCs w:val="24"/>
          <w:highlight w:val="none"/>
        </w:rPr>
        <w:t>3.6  备选投标方案</w:t>
      </w:r>
      <w:bookmarkEnd w:id="262"/>
      <w:bookmarkEnd w:id="263"/>
      <w:bookmarkEnd w:id="264"/>
      <w:bookmarkEnd w:id="265"/>
      <w:bookmarkEnd w:id="266"/>
      <w:bookmarkEnd w:id="267"/>
      <w:bookmarkEnd w:id="268"/>
      <w:bookmarkEnd w:id="26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可以接受该备选投标方案。</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70" w:name="_Toc430530461"/>
      <w:bookmarkStart w:id="271" w:name="_Toc277082578"/>
      <w:bookmarkStart w:id="272" w:name="_Toc287607772"/>
      <w:bookmarkStart w:id="273" w:name="_Toc509218736"/>
      <w:bookmarkStart w:id="274" w:name="_Toc200513152"/>
      <w:bookmarkStart w:id="275" w:name="_Toc41900025"/>
      <w:bookmarkStart w:id="276" w:name="_Toc224103343"/>
      <w:bookmarkStart w:id="277" w:name="_Toc287620711"/>
      <w:r>
        <w:rPr>
          <w:rFonts w:ascii="宋体" w:hAnsi="宋体"/>
          <w:b w:val="0"/>
          <w:snapToGrid w:val="0"/>
          <w:color w:val="auto"/>
          <w:sz w:val="24"/>
          <w:szCs w:val="24"/>
          <w:highlight w:val="none"/>
        </w:rPr>
        <w:t>3.7  投标文件的编制</w:t>
      </w:r>
      <w:bookmarkEnd w:id="270"/>
      <w:bookmarkEnd w:id="271"/>
      <w:bookmarkEnd w:id="272"/>
      <w:bookmarkEnd w:id="273"/>
      <w:bookmarkEnd w:id="274"/>
      <w:bookmarkEnd w:id="275"/>
      <w:bookmarkEnd w:id="276"/>
      <w:bookmarkEnd w:id="27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3.7.1  投标文件应按</w:t>
      </w:r>
      <w:r>
        <w:rPr>
          <w:rFonts w:hint="eastAsia" w:ascii="宋体" w:hAnsi="宋体"/>
          <w:snapToGrid w:val="0"/>
          <w:color w:val="auto"/>
          <w:kern w:val="0"/>
          <w:szCs w:val="21"/>
          <w:highlight w:val="none"/>
          <w:lang w:eastAsia="zh-CN"/>
        </w:rPr>
        <w:t>第八章</w:t>
      </w:r>
      <w:r>
        <w:rPr>
          <w:rFonts w:ascii="宋体" w:hAnsi="宋体"/>
          <w:snapToGrid w:val="0"/>
          <w:color w:val="auto"/>
          <w:kern w:val="0"/>
          <w:szCs w:val="21"/>
          <w:highlight w:val="none"/>
        </w:rPr>
        <w:t>“投标文件格式”进行编写，如有必要，可以增加附页，作为投标文件的组成部分。其中，投标函附录在满足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范围等实质性内容做出响应。</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投标文件的签字盖章要求：按本章投标人须知前附表第3.7.3项执行。</w:t>
      </w:r>
    </w:p>
    <w:p>
      <w:pPr>
        <w:pageBreakBefore w:val="0"/>
        <w:kinsoku/>
        <w:wordWrap/>
        <w:overflowPunct/>
        <w:topLinePunct w:val="0"/>
        <w:autoSpaceDE w:val="0"/>
        <w:autoSpaceDN w:val="0"/>
        <w:bidi w:val="0"/>
        <w:adjustRightInd w:val="0"/>
        <w:snapToGrid w:val="0"/>
        <w:spacing w:line="330" w:lineRule="exact"/>
        <w:ind w:right="-164" w:firstLine="420" w:firstLineChars="200"/>
        <w:textAlignment w:val="auto"/>
        <w:rPr>
          <w:rFonts w:ascii="宋体" w:hAnsi="宋体"/>
          <w:i/>
          <w:snapToGrid w:val="0"/>
          <w:color w:val="auto"/>
          <w:kern w:val="0"/>
          <w:szCs w:val="21"/>
          <w:highlight w:val="none"/>
        </w:rPr>
      </w:pPr>
      <w:r>
        <w:rPr>
          <w:rFonts w:ascii="宋体" w:hAnsi="宋体"/>
          <w:snapToGrid w:val="0"/>
          <w:color w:val="auto"/>
          <w:kern w:val="0"/>
          <w:szCs w:val="21"/>
          <w:highlight w:val="none"/>
        </w:rPr>
        <w:t>3.7.4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见投标人须知前附表。正本和副本的封面上应清楚地标记“正本”或“副本”的字样，正本和副本封面均须加盖单位法人章。当副本和正本不一致时，以正本为准。</w:t>
      </w:r>
    </w:p>
    <w:p>
      <w:pPr>
        <w:pageBreakBefore w:val="0"/>
        <w:kinsoku/>
        <w:wordWrap/>
        <w:overflowPunct/>
        <w:topLinePunct w:val="0"/>
        <w:autoSpaceDE w:val="0"/>
        <w:autoSpaceDN w:val="0"/>
        <w:bidi w:val="0"/>
        <w:adjustRightInd w:val="0"/>
        <w:snapToGrid w:val="0"/>
        <w:spacing w:line="330" w:lineRule="exact"/>
        <w:ind w:right="-109"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3.7.5  投标文件的正本与副本应分别装订成册，并编制目录，具体装订要求见投标人须知前附表规定。</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78" w:name="_Toc287620712"/>
      <w:bookmarkStart w:id="279" w:name="_Toc41900026"/>
      <w:bookmarkStart w:id="280" w:name="_Toc224103344"/>
      <w:bookmarkStart w:id="281" w:name="_Toc287607773"/>
      <w:bookmarkStart w:id="282" w:name="_Toc509218737"/>
      <w:bookmarkStart w:id="283" w:name="_Toc277082579"/>
      <w:bookmarkStart w:id="284" w:name="_Toc430530462"/>
      <w:bookmarkStart w:id="285" w:name="_Toc200513153"/>
      <w:r>
        <w:rPr>
          <w:rFonts w:ascii="宋体" w:hAnsi="宋体"/>
          <w:b w:val="0"/>
          <w:snapToGrid w:val="0"/>
          <w:color w:val="auto"/>
          <w:highlight w:val="none"/>
        </w:rPr>
        <w:t>4.  投标</w:t>
      </w:r>
      <w:bookmarkEnd w:id="278"/>
      <w:bookmarkEnd w:id="279"/>
      <w:bookmarkEnd w:id="280"/>
      <w:bookmarkEnd w:id="281"/>
      <w:bookmarkEnd w:id="282"/>
      <w:bookmarkEnd w:id="283"/>
      <w:bookmarkEnd w:id="284"/>
      <w:bookmarkEnd w:id="285"/>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86" w:name="_Toc224103345"/>
      <w:bookmarkStart w:id="287" w:name="_Toc509218738"/>
      <w:bookmarkStart w:id="288" w:name="_Toc200513154"/>
      <w:bookmarkStart w:id="289" w:name="_Toc287607774"/>
      <w:bookmarkStart w:id="290" w:name="_Toc287620713"/>
      <w:bookmarkStart w:id="291" w:name="_Toc277082580"/>
      <w:bookmarkStart w:id="292" w:name="_Toc41900027"/>
      <w:bookmarkStart w:id="293" w:name="_Toc430530463"/>
      <w:r>
        <w:rPr>
          <w:rFonts w:ascii="宋体" w:hAnsi="宋体"/>
          <w:b w:val="0"/>
          <w:snapToGrid w:val="0"/>
          <w:color w:val="auto"/>
          <w:sz w:val="24"/>
          <w:szCs w:val="24"/>
          <w:highlight w:val="none"/>
        </w:rPr>
        <w:t>4.1  投标文件的密封和标记</w:t>
      </w:r>
      <w:bookmarkEnd w:id="286"/>
      <w:bookmarkEnd w:id="287"/>
      <w:bookmarkEnd w:id="288"/>
      <w:bookmarkEnd w:id="289"/>
      <w:bookmarkEnd w:id="290"/>
      <w:bookmarkEnd w:id="291"/>
      <w:bookmarkEnd w:id="292"/>
      <w:bookmarkEnd w:id="29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bookmarkStart w:id="294" w:name="_Toc200513155"/>
      <w:r>
        <w:rPr>
          <w:rFonts w:ascii="宋体" w:hAnsi="宋体"/>
          <w:snapToGrid w:val="0"/>
          <w:color w:val="auto"/>
          <w:kern w:val="0"/>
          <w:szCs w:val="21"/>
          <w:highlight w:val="none"/>
        </w:rPr>
        <w:t>4.1.1  投标文件的正本与副本密封见投标人须知前附表。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投标文件的封套上应写明的内容见投标人须知前附表。</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95" w:name="_Toc41900028"/>
      <w:bookmarkStart w:id="296" w:name="_Toc509218739"/>
      <w:bookmarkStart w:id="297" w:name="_Toc277082581"/>
      <w:bookmarkStart w:id="298" w:name="_Toc430530464"/>
      <w:bookmarkStart w:id="299" w:name="_Toc224103346"/>
      <w:bookmarkStart w:id="300" w:name="_Toc287620714"/>
      <w:bookmarkStart w:id="301" w:name="_Toc287607775"/>
      <w:r>
        <w:rPr>
          <w:rFonts w:ascii="宋体" w:hAnsi="宋体"/>
          <w:b w:val="0"/>
          <w:snapToGrid w:val="0"/>
          <w:color w:val="auto"/>
          <w:sz w:val="24"/>
          <w:szCs w:val="24"/>
          <w:highlight w:val="none"/>
        </w:rPr>
        <w:t>4.2  投标文件的递交</w:t>
      </w:r>
      <w:bookmarkEnd w:id="294"/>
      <w:bookmarkEnd w:id="295"/>
      <w:bookmarkEnd w:id="296"/>
      <w:bookmarkEnd w:id="297"/>
      <w:bookmarkEnd w:id="298"/>
      <w:bookmarkEnd w:id="299"/>
      <w:bookmarkEnd w:id="300"/>
      <w:bookmarkEnd w:id="301"/>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收到投标文件后，向投标人出具签收凭证。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02" w:name="_Toc287620715"/>
      <w:bookmarkStart w:id="303" w:name="_Toc200513156"/>
      <w:bookmarkStart w:id="304" w:name="_Toc287607776"/>
      <w:bookmarkStart w:id="305" w:name="_Toc277082582"/>
      <w:bookmarkStart w:id="306" w:name="_Toc41900029"/>
      <w:bookmarkStart w:id="307" w:name="_Toc224103347"/>
      <w:bookmarkStart w:id="308" w:name="_Toc430530465"/>
      <w:bookmarkStart w:id="309" w:name="_Toc509218740"/>
      <w:r>
        <w:rPr>
          <w:rFonts w:ascii="宋体" w:hAnsi="宋体"/>
          <w:b w:val="0"/>
          <w:snapToGrid w:val="0"/>
          <w:color w:val="auto"/>
          <w:sz w:val="24"/>
          <w:szCs w:val="24"/>
          <w:highlight w:val="none"/>
        </w:rPr>
        <w:t>4.3  投标文件的修改与撤回</w:t>
      </w:r>
      <w:bookmarkEnd w:id="302"/>
      <w:bookmarkEnd w:id="303"/>
      <w:bookmarkEnd w:id="304"/>
      <w:bookmarkEnd w:id="305"/>
      <w:bookmarkEnd w:id="306"/>
      <w:bookmarkEnd w:id="307"/>
      <w:bookmarkEnd w:id="308"/>
      <w:bookmarkEnd w:id="30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投标人修改或撤回已递交投标文件的书面通知应按照本章第3.7.3项的要求签字或盖章。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10" w:name="_Toc287607777"/>
      <w:bookmarkStart w:id="311" w:name="_Toc277082583"/>
      <w:bookmarkStart w:id="312" w:name="_Toc41900030"/>
      <w:bookmarkStart w:id="313" w:name="_Toc224103348"/>
      <w:bookmarkStart w:id="314" w:name="_Toc200513157"/>
      <w:bookmarkStart w:id="315" w:name="_Toc509218741"/>
      <w:bookmarkStart w:id="316" w:name="_Toc287620716"/>
      <w:bookmarkStart w:id="317" w:name="_Toc430530466"/>
      <w:r>
        <w:rPr>
          <w:rFonts w:ascii="宋体" w:hAnsi="宋体"/>
          <w:b w:val="0"/>
          <w:snapToGrid w:val="0"/>
          <w:color w:val="auto"/>
          <w:highlight w:val="none"/>
        </w:rPr>
        <w:t>5.  开标</w:t>
      </w:r>
      <w:bookmarkEnd w:id="310"/>
      <w:bookmarkEnd w:id="311"/>
      <w:bookmarkEnd w:id="312"/>
      <w:bookmarkEnd w:id="313"/>
      <w:bookmarkEnd w:id="314"/>
      <w:bookmarkEnd w:id="315"/>
      <w:bookmarkEnd w:id="316"/>
      <w:bookmarkEnd w:id="317"/>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18" w:name="_Toc200513158"/>
      <w:bookmarkStart w:id="319" w:name="_Toc224103349"/>
      <w:bookmarkStart w:id="320" w:name="_Toc430530467"/>
      <w:bookmarkStart w:id="321" w:name="_Toc41900031"/>
      <w:bookmarkStart w:id="322" w:name="_Toc277082584"/>
      <w:bookmarkStart w:id="323" w:name="_Toc509218742"/>
      <w:bookmarkStart w:id="324" w:name="_Toc287620717"/>
      <w:bookmarkStart w:id="325" w:name="_Toc287607778"/>
      <w:r>
        <w:rPr>
          <w:rFonts w:ascii="宋体" w:hAnsi="宋体"/>
          <w:b w:val="0"/>
          <w:snapToGrid w:val="0"/>
          <w:color w:val="auto"/>
          <w:sz w:val="24"/>
          <w:szCs w:val="24"/>
          <w:highlight w:val="none"/>
        </w:rPr>
        <w:t>5.1  开标时间和地点</w:t>
      </w:r>
      <w:bookmarkEnd w:id="318"/>
      <w:bookmarkEnd w:id="319"/>
      <w:bookmarkEnd w:id="320"/>
      <w:bookmarkEnd w:id="321"/>
      <w:bookmarkEnd w:id="322"/>
      <w:bookmarkEnd w:id="323"/>
      <w:bookmarkEnd w:id="324"/>
      <w:bookmarkEnd w:id="325"/>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在投标人须知前附表第 2.2.2 项规定的投标截止时间（开标时间）和投标人须知前附表规定的地点公开开标，并邀请所有投标人的法定代表人或其委托代理人准时参加。</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26" w:name="_Toc287620718"/>
      <w:bookmarkStart w:id="327" w:name="_Toc509218743"/>
      <w:bookmarkStart w:id="328" w:name="_Toc277082585"/>
      <w:bookmarkStart w:id="329" w:name="_Toc41900032"/>
      <w:bookmarkStart w:id="330" w:name="_Toc287607779"/>
      <w:bookmarkStart w:id="331" w:name="_Toc200513159"/>
      <w:bookmarkStart w:id="332" w:name="_Toc430530468"/>
      <w:bookmarkStart w:id="333" w:name="_Toc224103350"/>
      <w:r>
        <w:rPr>
          <w:rFonts w:ascii="宋体" w:hAnsi="宋体"/>
          <w:b w:val="0"/>
          <w:snapToGrid w:val="0"/>
          <w:color w:val="auto"/>
          <w:sz w:val="24"/>
          <w:szCs w:val="24"/>
          <w:highlight w:val="none"/>
        </w:rPr>
        <w:t>5.2  开标程序</w:t>
      </w:r>
      <w:bookmarkEnd w:id="326"/>
      <w:bookmarkEnd w:id="327"/>
      <w:bookmarkEnd w:id="328"/>
      <w:bookmarkEnd w:id="329"/>
      <w:bookmarkEnd w:id="330"/>
      <w:bookmarkEnd w:id="331"/>
      <w:bookmarkEnd w:id="332"/>
      <w:bookmarkEnd w:id="33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bookmarkStart w:id="334" w:name="_Toc287607780"/>
      <w:bookmarkStart w:id="335" w:name="_Toc224103351"/>
      <w:bookmarkStart w:id="336" w:name="_Toc287620719"/>
      <w:bookmarkStart w:id="337" w:name="_Toc200513160"/>
      <w:bookmarkStart w:id="338" w:name="_Toc277082586"/>
      <w:r>
        <w:rPr>
          <w:rFonts w:ascii="宋体" w:hAnsi="宋体"/>
          <w:color w:val="auto"/>
          <w:szCs w:val="21"/>
          <w:highlight w:val="none"/>
        </w:rPr>
        <w:t>详见投标人须知前附表5.2开标程序。</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39" w:name="_Toc509218744"/>
      <w:bookmarkStart w:id="340" w:name="_Toc430530469"/>
      <w:bookmarkStart w:id="341" w:name="_Toc41900033"/>
      <w:r>
        <w:rPr>
          <w:rFonts w:ascii="宋体" w:hAnsi="宋体"/>
          <w:b w:val="0"/>
          <w:snapToGrid w:val="0"/>
          <w:color w:val="auto"/>
          <w:highlight w:val="none"/>
        </w:rPr>
        <w:t>6.  评标</w:t>
      </w:r>
      <w:bookmarkEnd w:id="334"/>
      <w:bookmarkEnd w:id="335"/>
      <w:bookmarkEnd w:id="336"/>
      <w:bookmarkEnd w:id="337"/>
      <w:bookmarkEnd w:id="338"/>
      <w:bookmarkEnd w:id="339"/>
      <w:bookmarkEnd w:id="340"/>
      <w:bookmarkEnd w:id="341"/>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42" w:name="_Toc287607781"/>
      <w:bookmarkStart w:id="343" w:name="_Toc509218745"/>
      <w:bookmarkStart w:id="344" w:name="_Toc200513161"/>
      <w:bookmarkStart w:id="345" w:name="_Toc430530470"/>
      <w:bookmarkStart w:id="346" w:name="_Toc224103352"/>
      <w:bookmarkStart w:id="347" w:name="_Toc287620720"/>
      <w:bookmarkStart w:id="348" w:name="_Toc277082587"/>
      <w:bookmarkStart w:id="349" w:name="_Toc41900034"/>
      <w:r>
        <w:rPr>
          <w:rFonts w:ascii="宋体" w:hAnsi="宋体"/>
          <w:b w:val="0"/>
          <w:snapToGrid w:val="0"/>
          <w:color w:val="auto"/>
          <w:sz w:val="24"/>
          <w:szCs w:val="24"/>
          <w:highlight w:val="none"/>
        </w:rPr>
        <w:t>6.1  评标委员会</w:t>
      </w:r>
      <w:bookmarkEnd w:id="342"/>
      <w:bookmarkEnd w:id="343"/>
      <w:bookmarkEnd w:id="344"/>
      <w:bookmarkEnd w:id="345"/>
      <w:bookmarkEnd w:id="346"/>
      <w:bookmarkEnd w:id="347"/>
      <w:bookmarkEnd w:id="348"/>
      <w:bookmarkEnd w:id="34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（2）项目主管部门或者行政监督部门的人员；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p>
    <w:p>
      <w:pPr>
        <w:pStyle w:val="2"/>
        <w:pageBreakBefore w:val="0"/>
        <w:kinsoku/>
        <w:wordWrap/>
        <w:overflowPunct/>
        <w:topLinePunct w:val="0"/>
        <w:bidi w:val="0"/>
        <w:spacing w:line="330" w:lineRule="exact"/>
        <w:ind w:firstLine="420" w:firstLineChars="200"/>
        <w:textAlignment w:val="auto"/>
        <w:rPr>
          <w:color w:val="auto"/>
          <w:highlight w:val="none"/>
        </w:rPr>
      </w:pPr>
      <w:r>
        <w:rPr>
          <w:rFonts w:hint="eastAsia" w:ascii="宋体" w:hAnsi="宋体" w:eastAsia="宋体" w:cs="Times New Roman"/>
          <w:snapToGrid w:val="0"/>
          <w:color w:val="auto"/>
          <w:kern w:val="0"/>
          <w:sz w:val="21"/>
          <w:szCs w:val="21"/>
          <w:highlight w:val="none"/>
          <w:lang w:val="en-US" w:eastAsia="zh-CN" w:bidi="ar-SA"/>
        </w:rPr>
        <w:t xml:space="preserve">6.1.3 </w:t>
      </w:r>
      <w:r>
        <w:rPr>
          <w:rFonts w:hint="eastAsia"/>
          <w:color w:val="auto"/>
          <w:highlight w:val="none"/>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50" w:name="_Toc41900035"/>
      <w:bookmarkStart w:id="351" w:name="_Toc277082588"/>
      <w:bookmarkStart w:id="352" w:name="_Toc430530471"/>
      <w:bookmarkStart w:id="353" w:name="_Toc224103353"/>
      <w:bookmarkStart w:id="354" w:name="_Toc200513162"/>
      <w:bookmarkStart w:id="355" w:name="_Toc509218746"/>
      <w:bookmarkStart w:id="356" w:name="_Toc287607782"/>
      <w:bookmarkStart w:id="357" w:name="_Toc287620721"/>
      <w:r>
        <w:rPr>
          <w:rFonts w:ascii="宋体" w:hAnsi="宋体"/>
          <w:b w:val="0"/>
          <w:snapToGrid w:val="0"/>
          <w:color w:val="auto"/>
          <w:sz w:val="24"/>
          <w:szCs w:val="24"/>
          <w:highlight w:val="none"/>
        </w:rPr>
        <w:t>6.2  评标原则</w:t>
      </w:r>
      <w:bookmarkEnd w:id="350"/>
      <w:bookmarkEnd w:id="351"/>
      <w:bookmarkEnd w:id="352"/>
      <w:bookmarkEnd w:id="353"/>
      <w:bookmarkEnd w:id="354"/>
      <w:bookmarkEnd w:id="355"/>
      <w:bookmarkEnd w:id="356"/>
      <w:bookmarkEnd w:id="35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58" w:name="_Toc224103354"/>
      <w:bookmarkStart w:id="359" w:name="_Toc200513163"/>
      <w:bookmarkStart w:id="360" w:name="_Toc41900036"/>
      <w:bookmarkStart w:id="361" w:name="_Toc287607783"/>
      <w:bookmarkStart w:id="362" w:name="_Toc430530472"/>
      <w:bookmarkStart w:id="363" w:name="_Toc287620722"/>
      <w:bookmarkStart w:id="364" w:name="_Toc277082589"/>
      <w:bookmarkStart w:id="365" w:name="_Toc509218747"/>
      <w:r>
        <w:rPr>
          <w:rFonts w:ascii="宋体" w:hAnsi="宋体"/>
          <w:b w:val="0"/>
          <w:snapToGrid w:val="0"/>
          <w:color w:val="auto"/>
          <w:sz w:val="24"/>
          <w:szCs w:val="24"/>
          <w:highlight w:val="none"/>
        </w:rPr>
        <w:t>6.3  评标</w:t>
      </w:r>
      <w:bookmarkEnd w:id="358"/>
      <w:bookmarkEnd w:id="359"/>
      <w:bookmarkEnd w:id="360"/>
      <w:bookmarkEnd w:id="361"/>
      <w:bookmarkEnd w:id="362"/>
      <w:bookmarkEnd w:id="363"/>
      <w:bookmarkEnd w:id="364"/>
      <w:bookmarkEnd w:id="365"/>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66" w:name="_Toc287620723"/>
      <w:bookmarkStart w:id="367" w:name="_Toc430530473"/>
      <w:bookmarkStart w:id="368" w:name="_Toc200513164"/>
      <w:bookmarkStart w:id="369" w:name="_Toc277082590"/>
      <w:bookmarkStart w:id="370" w:name="_Toc224103355"/>
      <w:bookmarkStart w:id="371" w:name="_Toc287607784"/>
      <w:bookmarkStart w:id="372" w:name="_Toc41900037"/>
      <w:bookmarkStart w:id="373" w:name="_Toc509218748"/>
      <w:r>
        <w:rPr>
          <w:rFonts w:ascii="宋体" w:hAnsi="宋体"/>
          <w:b w:val="0"/>
          <w:snapToGrid w:val="0"/>
          <w:color w:val="auto"/>
          <w:highlight w:val="none"/>
        </w:rPr>
        <w:t>7.  合同授予</w:t>
      </w:r>
      <w:bookmarkEnd w:id="366"/>
      <w:bookmarkEnd w:id="367"/>
      <w:bookmarkEnd w:id="368"/>
      <w:bookmarkEnd w:id="369"/>
      <w:bookmarkEnd w:id="370"/>
      <w:bookmarkEnd w:id="371"/>
      <w:bookmarkEnd w:id="372"/>
      <w:bookmarkEnd w:id="373"/>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74" w:name="_Toc287620724"/>
      <w:bookmarkStart w:id="375" w:name="_Toc430530474"/>
      <w:bookmarkStart w:id="376" w:name="_Toc277082591"/>
      <w:bookmarkStart w:id="377" w:name="_Toc41900038"/>
      <w:bookmarkStart w:id="378" w:name="_Toc224103356"/>
      <w:bookmarkStart w:id="379" w:name="_Toc200513165"/>
      <w:bookmarkStart w:id="380" w:name="_Toc509218749"/>
      <w:bookmarkStart w:id="381" w:name="_Toc287607785"/>
      <w:r>
        <w:rPr>
          <w:rFonts w:ascii="宋体" w:hAnsi="宋体"/>
          <w:b w:val="0"/>
          <w:snapToGrid w:val="0"/>
          <w:color w:val="auto"/>
          <w:sz w:val="24"/>
          <w:szCs w:val="24"/>
          <w:highlight w:val="none"/>
        </w:rPr>
        <w:t>7.1  定标方式</w:t>
      </w:r>
      <w:bookmarkEnd w:id="374"/>
      <w:bookmarkEnd w:id="375"/>
      <w:bookmarkEnd w:id="376"/>
      <w:bookmarkEnd w:id="377"/>
      <w:bookmarkEnd w:id="378"/>
      <w:bookmarkEnd w:id="379"/>
      <w:bookmarkEnd w:id="380"/>
      <w:bookmarkEnd w:id="381"/>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7.1.1  比选人应当确定排名第一的中标候选人为中标人。排名第一的中标候选人放弃中标、因不可抗力不能履行合同，或者被查实存在影响中标结果的违法行为等情形，不符合中标条件的，比选人可以按照评标委员会提出的中标候选人名单排序依次确定其他中标候选人为中标人，</w:t>
      </w:r>
      <w:r>
        <w:rPr>
          <w:rFonts w:hint="eastAsia" w:ascii="宋体" w:hAnsi="宋体"/>
          <w:b/>
          <w:bCs/>
          <w:snapToGrid w:val="0"/>
          <w:color w:val="auto"/>
          <w:kern w:val="0"/>
          <w:szCs w:val="21"/>
          <w:highlight w:val="none"/>
        </w:rPr>
        <w:t>也可以重新比选</w:t>
      </w:r>
      <w:r>
        <w:rPr>
          <w:rFonts w:hint="eastAsia" w:ascii="宋体" w:hAnsi="宋体"/>
          <w:snapToGrid w:val="0"/>
          <w:color w:val="auto"/>
          <w:kern w:val="0"/>
          <w:szCs w:val="21"/>
          <w:highlight w:val="none"/>
        </w:rPr>
        <w:t>。排名第一的中标候选人放弃中标后，排名第二或第三的中标候选人按次序确定为中标人的，其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报价高于第一中标候选人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报价的，须以第一中标候选人的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价格低于第一中标候选人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报价的，以其实际</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w:t>
      </w:r>
      <w:r>
        <w:rPr>
          <w:rFonts w:ascii="宋体" w:hAnsi="宋体"/>
          <w:snapToGrid w:val="0"/>
          <w:color w:val="auto"/>
          <w:kern w:val="0"/>
          <w:szCs w:val="21"/>
          <w:highlight w:val="none"/>
        </w:rPr>
        <w:t>。</w:t>
      </w:r>
    </w:p>
    <w:p>
      <w:pPr>
        <w:pStyle w:val="2"/>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评标委员会推荐中标候选人的人数</w:t>
      </w:r>
      <w:r>
        <w:rPr>
          <w:rFonts w:hint="eastAsia"/>
          <w:color w:val="auto"/>
          <w:highlight w:val="none"/>
        </w:rPr>
        <w:t>：</w:t>
      </w:r>
      <w:r>
        <w:rPr>
          <w:color w:val="auto"/>
          <w:highlight w:val="none"/>
        </w:rPr>
        <w:t>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82" w:name="_Toc430530475"/>
      <w:bookmarkStart w:id="383" w:name="_Toc509218750"/>
      <w:bookmarkStart w:id="384" w:name="_Toc41900039"/>
      <w:r>
        <w:rPr>
          <w:rFonts w:ascii="宋体" w:hAnsi="宋体"/>
          <w:b w:val="0"/>
          <w:snapToGrid w:val="0"/>
          <w:color w:val="auto"/>
          <w:sz w:val="24"/>
          <w:szCs w:val="24"/>
          <w:highlight w:val="none"/>
        </w:rPr>
        <w:t>7.2  中标公示及中标通知</w:t>
      </w:r>
      <w:bookmarkEnd w:id="382"/>
      <w:bookmarkEnd w:id="383"/>
      <w:bookmarkEnd w:id="38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lang w:val="en-US" w:eastAsia="zh-CN"/>
        </w:rPr>
        <w:t xml:space="preserve">7.2.1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在收到评标报告之日起3日内公示中标候选人，公示期不得少于3个工作日</w:t>
      </w:r>
      <w:r>
        <w:rPr>
          <w:rFonts w:hint="eastAsia" w:ascii="宋体" w:hAnsi="宋体"/>
          <w:color w:val="auto"/>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7.2.2 </w:t>
      </w:r>
      <w:r>
        <w:rPr>
          <w:rFonts w:ascii="宋体" w:hAnsi="宋体"/>
          <w:snapToGrid w:val="0"/>
          <w:color w:val="auto"/>
          <w:kern w:val="0"/>
          <w:szCs w:val="21"/>
          <w:highlight w:val="none"/>
        </w:rPr>
        <w:t>在本章第 3.3 款规定的投标有效期内，且未有投标人的异议与投诉，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p>
    <w:p>
      <w:pPr>
        <w:pStyle w:val="5"/>
        <w:pageBreakBefore w:val="0"/>
        <w:kinsoku/>
        <w:wordWrap/>
        <w:overflowPunct/>
        <w:topLinePunct w:val="0"/>
        <w:bidi w:val="0"/>
        <w:snapToGrid w:val="0"/>
        <w:spacing w:before="0" w:after="0" w:line="330" w:lineRule="exact"/>
        <w:textAlignment w:val="auto"/>
        <w:rPr>
          <w:rFonts w:ascii="宋体" w:hAnsi="宋体" w:cs="Times New Roman"/>
          <w:b w:val="0"/>
          <w:snapToGrid w:val="0"/>
          <w:color w:val="auto"/>
          <w:sz w:val="24"/>
          <w:szCs w:val="24"/>
          <w:highlight w:val="none"/>
        </w:rPr>
      </w:pPr>
      <w:bookmarkStart w:id="385" w:name="_Toc430530477"/>
      <w:bookmarkStart w:id="386" w:name="_Toc509218752"/>
      <w:bookmarkStart w:id="387" w:name="_Toc287620727"/>
      <w:bookmarkStart w:id="388" w:name="_Toc277082594"/>
      <w:bookmarkStart w:id="389" w:name="_Toc200513168"/>
      <w:bookmarkStart w:id="390" w:name="_Toc224103359"/>
      <w:bookmarkStart w:id="391" w:name="_Toc287607788"/>
      <w:bookmarkStart w:id="392" w:name="_Toc41900041"/>
      <w:r>
        <w:rPr>
          <w:rFonts w:ascii="宋体" w:hAnsi="宋体" w:cs="Times New Roman"/>
          <w:b w:val="0"/>
          <w:snapToGrid w:val="0"/>
          <w:color w:val="auto"/>
          <w:sz w:val="24"/>
          <w:szCs w:val="24"/>
          <w:highlight w:val="none"/>
        </w:rPr>
        <w:t>7.</w:t>
      </w:r>
      <w:r>
        <w:rPr>
          <w:rFonts w:hint="eastAsia" w:ascii="宋体" w:hAnsi="宋体" w:cs="Times New Roman"/>
          <w:b w:val="0"/>
          <w:snapToGrid w:val="0"/>
          <w:color w:val="auto"/>
          <w:sz w:val="24"/>
          <w:szCs w:val="24"/>
          <w:highlight w:val="none"/>
          <w:lang w:val="en-US" w:eastAsia="zh-CN"/>
        </w:rPr>
        <w:t>3</w:t>
      </w:r>
      <w:r>
        <w:rPr>
          <w:rFonts w:ascii="宋体" w:hAnsi="宋体" w:cs="Times New Roman"/>
          <w:b w:val="0"/>
          <w:snapToGrid w:val="0"/>
          <w:color w:val="auto"/>
          <w:sz w:val="24"/>
          <w:szCs w:val="24"/>
          <w:highlight w:val="none"/>
        </w:rPr>
        <w:t xml:space="preserve"> </w:t>
      </w:r>
      <w:r>
        <w:rPr>
          <w:rFonts w:hint="eastAsia" w:ascii="宋体" w:hAnsi="宋体" w:cs="Times New Roman"/>
          <w:b w:val="0"/>
          <w:snapToGrid w:val="0"/>
          <w:color w:val="auto"/>
          <w:sz w:val="24"/>
          <w:szCs w:val="24"/>
          <w:highlight w:val="none"/>
          <w:lang w:val="en-US" w:eastAsia="zh-CN"/>
        </w:rPr>
        <w:t>履约担保</w:t>
      </w:r>
      <w:r>
        <w:rPr>
          <w:rFonts w:ascii="宋体" w:hAnsi="宋体" w:cs="Times New Roman"/>
          <w:b w:val="0"/>
          <w:snapToGrid w:val="0"/>
          <w:color w:val="auto"/>
          <w:sz w:val="24"/>
          <w:szCs w:val="24"/>
          <w:highlight w:val="none"/>
        </w:rPr>
        <w:t xml:space="preserve"> </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提交履约担保。联合体中标的，其履约担保由牵头人递交，并应符合投标人须知前附表规定的金额、担保形式和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第四章“合同条款及格式”规定的履约担保格式要求</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color w:val="auto"/>
          <w:highlight w:val="none"/>
        </w:rPr>
      </w:pPr>
      <w:r>
        <w:rPr>
          <w:rFonts w:ascii="宋体" w:hAnsi="宋体"/>
          <w:snapToGrid w:val="0"/>
          <w:color w:val="auto"/>
          <w:kern w:val="0"/>
          <w:szCs w:val="21"/>
          <w:highlight w:val="none"/>
        </w:rPr>
        <w:t>7.3.2 中标人不能按本章第 7.3.1 项要求提交履约担保的，视为放弃中标，其投标保证金不予退还，给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pPr>
        <w:pStyle w:val="5"/>
        <w:pageBreakBefore w:val="0"/>
        <w:kinsoku/>
        <w:wordWrap/>
        <w:overflowPunct/>
        <w:topLinePunct w:val="0"/>
        <w:bidi w:val="0"/>
        <w:snapToGrid w:val="0"/>
        <w:spacing w:before="0" w:after="0" w:line="330" w:lineRule="exact"/>
        <w:textAlignment w:val="auto"/>
        <w:rPr>
          <w:rFonts w:ascii="宋体" w:hAnsi="宋体" w:cs="Times New Roman"/>
          <w:b w:val="0"/>
          <w:snapToGrid w:val="0"/>
          <w:color w:val="auto"/>
          <w:sz w:val="24"/>
          <w:szCs w:val="24"/>
          <w:highlight w:val="none"/>
        </w:rPr>
      </w:pPr>
      <w:r>
        <w:rPr>
          <w:rFonts w:hint="eastAsia" w:ascii="宋体" w:hAnsi="宋体" w:cs="Times New Roman"/>
          <w:b w:val="0"/>
          <w:snapToGrid w:val="0"/>
          <w:color w:val="auto"/>
          <w:sz w:val="24"/>
          <w:szCs w:val="24"/>
          <w:highlight w:val="none"/>
          <w:lang w:val="en-US" w:eastAsia="zh-CN"/>
        </w:rPr>
        <w:t>7.4</w:t>
      </w:r>
      <w:r>
        <w:rPr>
          <w:rFonts w:ascii="宋体" w:hAnsi="宋体" w:cs="Times New Roman"/>
          <w:b w:val="0"/>
          <w:snapToGrid w:val="0"/>
          <w:color w:val="auto"/>
          <w:sz w:val="24"/>
          <w:szCs w:val="24"/>
          <w:highlight w:val="none"/>
        </w:rPr>
        <w:t>签订合同</w:t>
      </w:r>
      <w:bookmarkEnd w:id="385"/>
      <w:bookmarkEnd w:id="386"/>
      <w:bookmarkEnd w:id="387"/>
      <w:bookmarkEnd w:id="388"/>
      <w:bookmarkEnd w:id="389"/>
      <w:bookmarkEnd w:id="390"/>
      <w:bookmarkEnd w:id="391"/>
      <w:bookmarkEnd w:id="39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和中标人应当自中标通知书发出之日起 30 天内，根据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提出附加条件或者更改合同实质性内容的</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或不按照</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要求提交履约保证金的，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向中标人退还投标保证金；给中标人造成损失的，还应当赔偿损失。</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93" w:name="_Toc200513169"/>
      <w:bookmarkStart w:id="394" w:name="_Toc287607789"/>
      <w:bookmarkStart w:id="395" w:name="_Toc277082595"/>
      <w:bookmarkStart w:id="396" w:name="_Toc430530478"/>
      <w:bookmarkStart w:id="397" w:name="_Toc224103360"/>
      <w:bookmarkStart w:id="398" w:name="_Toc287620728"/>
      <w:bookmarkStart w:id="399" w:name="_Toc41900042"/>
      <w:bookmarkStart w:id="400" w:name="_Toc509218753"/>
      <w:r>
        <w:rPr>
          <w:rFonts w:ascii="宋体" w:hAnsi="宋体"/>
          <w:b w:val="0"/>
          <w:snapToGrid w:val="0"/>
          <w:color w:val="auto"/>
          <w:highlight w:val="none"/>
        </w:rPr>
        <w:t xml:space="preserve">8. </w:t>
      </w:r>
      <w:r>
        <w:rPr>
          <w:rFonts w:ascii="宋体" w:hAnsi="宋体" w:eastAsia="宋体"/>
          <w:b w:val="0"/>
          <w:snapToGrid w:val="0"/>
          <w:color w:val="auto"/>
          <w:highlight w:val="none"/>
        </w:rPr>
        <w:t xml:space="preserve"> 重新招标和不再招标</w:t>
      </w:r>
      <w:bookmarkEnd w:id="393"/>
      <w:bookmarkEnd w:id="394"/>
      <w:bookmarkEnd w:id="395"/>
      <w:bookmarkEnd w:id="396"/>
      <w:bookmarkEnd w:id="397"/>
      <w:bookmarkEnd w:id="398"/>
      <w:bookmarkEnd w:id="399"/>
      <w:bookmarkEnd w:id="400"/>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01" w:name="_Toc224103361"/>
      <w:bookmarkStart w:id="402" w:name="_Toc430530479"/>
      <w:bookmarkStart w:id="403" w:name="_Toc509218754"/>
      <w:bookmarkStart w:id="404" w:name="_Toc287620729"/>
      <w:bookmarkStart w:id="405" w:name="_Toc41900043"/>
      <w:bookmarkStart w:id="406" w:name="_Toc277082596"/>
      <w:bookmarkStart w:id="407" w:name="_Toc287607790"/>
      <w:bookmarkStart w:id="408" w:name="_Toc200513170"/>
      <w:r>
        <w:rPr>
          <w:rFonts w:ascii="宋体" w:hAnsi="宋体"/>
          <w:b w:val="0"/>
          <w:snapToGrid w:val="0"/>
          <w:color w:val="auto"/>
          <w:sz w:val="24"/>
          <w:szCs w:val="24"/>
          <w:highlight w:val="none"/>
        </w:rPr>
        <w:t>8.1  重新招标</w:t>
      </w:r>
      <w:bookmarkEnd w:id="401"/>
      <w:bookmarkEnd w:id="402"/>
      <w:bookmarkEnd w:id="403"/>
      <w:bookmarkEnd w:id="404"/>
      <w:bookmarkEnd w:id="405"/>
      <w:bookmarkEnd w:id="406"/>
      <w:bookmarkEnd w:id="407"/>
      <w:bookmarkEnd w:id="408"/>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将重新招标：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要求的，评标委员会可以继续评标并确定中标候选人。</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09" w:name="_Toc287620730"/>
      <w:bookmarkStart w:id="410" w:name="_Toc224103362"/>
      <w:bookmarkStart w:id="411" w:name="_Toc277082597"/>
      <w:bookmarkStart w:id="412" w:name="_Toc200513171"/>
      <w:bookmarkStart w:id="413" w:name="_Toc287607791"/>
      <w:bookmarkStart w:id="414" w:name="_Toc509218755"/>
      <w:bookmarkStart w:id="415" w:name="_Toc41900044"/>
      <w:bookmarkStart w:id="416" w:name="_Toc430530480"/>
      <w:r>
        <w:rPr>
          <w:rFonts w:ascii="宋体" w:hAnsi="宋体"/>
          <w:b w:val="0"/>
          <w:snapToGrid w:val="0"/>
          <w:color w:val="auto"/>
          <w:sz w:val="24"/>
          <w:szCs w:val="24"/>
          <w:highlight w:val="none"/>
        </w:rPr>
        <w:t>8.2  二次招标和不再招标</w:t>
      </w:r>
      <w:bookmarkEnd w:id="409"/>
      <w:bookmarkEnd w:id="410"/>
      <w:bookmarkEnd w:id="411"/>
      <w:bookmarkEnd w:id="412"/>
      <w:bookmarkEnd w:id="413"/>
      <w:bookmarkEnd w:id="414"/>
      <w:bookmarkEnd w:id="415"/>
      <w:bookmarkEnd w:id="416"/>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417" w:name="_Toc287620731"/>
      <w:bookmarkStart w:id="418" w:name="_Toc430530481"/>
      <w:bookmarkStart w:id="419" w:name="_Toc287607792"/>
      <w:bookmarkStart w:id="420" w:name="_Toc277082598"/>
      <w:bookmarkStart w:id="421" w:name="_Toc224103363"/>
      <w:bookmarkStart w:id="422" w:name="_Toc509218756"/>
      <w:bookmarkStart w:id="423" w:name="_Toc200513172"/>
      <w:bookmarkStart w:id="424" w:name="_Toc41900045"/>
      <w:r>
        <w:rPr>
          <w:rFonts w:ascii="宋体" w:hAnsi="宋体"/>
          <w:b w:val="0"/>
          <w:snapToGrid w:val="0"/>
          <w:color w:val="auto"/>
          <w:highlight w:val="none"/>
        </w:rPr>
        <w:t>9.  纪律和监督</w:t>
      </w:r>
      <w:bookmarkEnd w:id="417"/>
      <w:bookmarkEnd w:id="418"/>
      <w:bookmarkEnd w:id="419"/>
      <w:bookmarkEnd w:id="420"/>
      <w:bookmarkEnd w:id="421"/>
      <w:bookmarkEnd w:id="422"/>
      <w:bookmarkEnd w:id="423"/>
      <w:bookmarkEnd w:id="424"/>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25" w:name="_Toc430530482"/>
      <w:bookmarkStart w:id="426" w:name="_Toc287620732"/>
      <w:bookmarkStart w:id="427" w:name="_Toc200513173"/>
      <w:bookmarkStart w:id="428" w:name="_Toc509218757"/>
      <w:bookmarkStart w:id="429" w:name="_Toc277082599"/>
      <w:bookmarkStart w:id="430" w:name="_Toc41900046"/>
      <w:bookmarkStart w:id="431" w:name="_Toc287607793"/>
      <w:bookmarkStart w:id="432" w:name="_Toc224103364"/>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425"/>
      <w:bookmarkEnd w:id="426"/>
      <w:bookmarkEnd w:id="427"/>
      <w:bookmarkEnd w:id="428"/>
      <w:bookmarkEnd w:id="429"/>
      <w:bookmarkEnd w:id="430"/>
      <w:bookmarkEnd w:id="431"/>
      <w:bookmarkEnd w:id="43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不得泄漏招标投标活动中应当保密的情况和资料，不得与投标人串通损害国家利益、社会公共利益或者他人合法权益，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在开标前开启投标文件并将有关信息泄露给其他投标人</w:t>
      </w:r>
      <w:r>
        <w:rPr>
          <w:rFonts w:hint="eastAsia" w:ascii="宋体" w:hAnsi="宋体"/>
          <w:color w:val="auto"/>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直接或者间接向投标人泄露标底、评标委员会成员等信息；</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明示或者暗示投标人压低或者抬高投标报价；</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授意投标人撤换、修改投标文件；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明示或者暗示投标人为特定投标人中标提供方便；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与投标人为谋求特定投标人中标而采取的其他串通行为。</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33" w:name="_Toc287620733"/>
      <w:bookmarkStart w:id="434" w:name="_Toc509218758"/>
      <w:bookmarkStart w:id="435" w:name="_Toc224103365"/>
      <w:bookmarkStart w:id="436" w:name="_Toc430530483"/>
      <w:bookmarkStart w:id="437" w:name="_Toc41900047"/>
      <w:bookmarkStart w:id="438" w:name="_Toc287607794"/>
      <w:bookmarkStart w:id="439" w:name="_Toc200513174"/>
      <w:bookmarkStart w:id="440" w:name="_Toc277082600"/>
      <w:r>
        <w:rPr>
          <w:rFonts w:ascii="宋体" w:hAnsi="宋体"/>
          <w:b w:val="0"/>
          <w:snapToGrid w:val="0"/>
          <w:color w:val="auto"/>
          <w:sz w:val="24"/>
          <w:szCs w:val="24"/>
          <w:highlight w:val="none"/>
        </w:rPr>
        <w:t>9.2  对投标人的纪律要求</w:t>
      </w:r>
      <w:bookmarkEnd w:id="433"/>
      <w:bookmarkEnd w:id="434"/>
      <w:bookmarkEnd w:id="435"/>
      <w:bookmarkEnd w:id="436"/>
      <w:bookmarkEnd w:id="437"/>
      <w:bookmarkEnd w:id="438"/>
      <w:bookmarkEnd w:id="439"/>
      <w:bookmarkEnd w:id="44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snapToGrid w:val="0"/>
          <w:color w:val="auto"/>
          <w:kern w:val="0"/>
          <w:szCs w:val="21"/>
          <w:highlight w:val="none"/>
        </w:rPr>
        <w:t>投标人不得相互串通投标或者与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lang w:val="en-US" w:eastAsia="zh-CN"/>
        </w:rPr>
        <w:t xml:space="preserve">            9.2.1 </w:t>
      </w:r>
      <w:r>
        <w:rPr>
          <w:rFonts w:ascii="宋体" w:hAnsi="宋体"/>
          <w:color w:val="auto"/>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（2）投标人之间约定中标人；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9.2.2 </w:t>
      </w:r>
      <w:r>
        <w:rPr>
          <w:rFonts w:ascii="宋体" w:hAnsi="宋体"/>
          <w:color w:val="auto"/>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（5）不同投标人的投标文件相互混装；</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9.2.3 </w:t>
      </w:r>
      <w:r>
        <w:rPr>
          <w:rFonts w:ascii="宋体" w:hAnsi="宋体"/>
          <w:color w:val="auto"/>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9.2.4 </w:t>
      </w:r>
      <w:r>
        <w:rPr>
          <w:rFonts w:ascii="宋体" w:hAnsi="宋体"/>
          <w:color w:val="auto"/>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（一）使用伪造、变造的许可证件；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（二）提供虚假的财务状况或者业绩；</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（四）提供虚假的信用状况；</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color w:val="auto"/>
          <w:highlight w:val="none"/>
        </w:rPr>
        <w:t>（五）其他弄虚作假的行为。</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41" w:name="_Toc224103366"/>
      <w:bookmarkStart w:id="442" w:name="_Toc41900048"/>
      <w:bookmarkStart w:id="443" w:name="_Toc509218759"/>
      <w:bookmarkStart w:id="444" w:name="_Toc430530484"/>
      <w:bookmarkStart w:id="445" w:name="_Toc200513175"/>
      <w:bookmarkStart w:id="446" w:name="_Toc287607795"/>
      <w:bookmarkStart w:id="447" w:name="_Toc287620734"/>
      <w:bookmarkStart w:id="448" w:name="_Toc277082601"/>
      <w:r>
        <w:rPr>
          <w:rFonts w:ascii="宋体" w:hAnsi="宋体"/>
          <w:b w:val="0"/>
          <w:snapToGrid w:val="0"/>
          <w:color w:val="auto"/>
          <w:sz w:val="24"/>
          <w:szCs w:val="24"/>
          <w:highlight w:val="none"/>
        </w:rPr>
        <w:t>9.3  对评标委员会成员的纪律要求</w:t>
      </w:r>
      <w:bookmarkEnd w:id="441"/>
      <w:bookmarkEnd w:id="442"/>
      <w:bookmarkEnd w:id="443"/>
      <w:bookmarkEnd w:id="444"/>
      <w:bookmarkEnd w:id="445"/>
      <w:bookmarkEnd w:id="446"/>
      <w:bookmarkEnd w:id="447"/>
      <w:bookmarkEnd w:id="448"/>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49" w:name="_Toc287607796"/>
      <w:bookmarkStart w:id="450" w:name="_Toc430530485"/>
      <w:bookmarkStart w:id="451" w:name="_Toc41900049"/>
      <w:bookmarkStart w:id="452" w:name="_Toc287620735"/>
      <w:bookmarkStart w:id="453" w:name="_Toc200513176"/>
      <w:bookmarkStart w:id="454" w:name="_Toc277082602"/>
      <w:bookmarkStart w:id="455" w:name="_Toc509218760"/>
      <w:bookmarkStart w:id="456" w:name="_Toc224103367"/>
      <w:r>
        <w:rPr>
          <w:rFonts w:ascii="宋体" w:hAnsi="宋体"/>
          <w:b w:val="0"/>
          <w:snapToGrid w:val="0"/>
          <w:color w:val="auto"/>
          <w:sz w:val="24"/>
          <w:szCs w:val="24"/>
          <w:highlight w:val="none"/>
        </w:rPr>
        <w:t>9.4  对与评标活动有关的工作人员的纪律要求</w:t>
      </w:r>
      <w:bookmarkEnd w:id="449"/>
      <w:bookmarkEnd w:id="450"/>
      <w:bookmarkEnd w:id="451"/>
      <w:bookmarkEnd w:id="452"/>
      <w:bookmarkEnd w:id="453"/>
      <w:bookmarkEnd w:id="454"/>
      <w:bookmarkEnd w:id="455"/>
      <w:bookmarkEnd w:id="45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57" w:name="_Toc277082603"/>
      <w:bookmarkStart w:id="458" w:name="_Toc200513177"/>
      <w:bookmarkStart w:id="459" w:name="_Toc224103368"/>
      <w:bookmarkStart w:id="460" w:name="_Toc287620736"/>
      <w:bookmarkStart w:id="461" w:name="_Toc287607797"/>
      <w:bookmarkStart w:id="462" w:name="_Toc41900050"/>
      <w:bookmarkStart w:id="463" w:name="_Toc430530486"/>
      <w:bookmarkStart w:id="464" w:name="_Toc509218761"/>
      <w:r>
        <w:rPr>
          <w:rFonts w:ascii="宋体" w:hAnsi="宋体"/>
          <w:b w:val="0"/>
          <w:snapToGrid w:val="0"/>
          <w:color w:val="auto"/>
          <w:sz w:val="24"/>
          <w:szCs w:val="24"/>
          <w:highlight w:val="none"/>
        </w:rPr>
        <w:t>9.5  投诉</w:t>
      </w:r>
      <w:bookmarkEnd w:id="457"/>
      <w:bookmarkEnd w:id="458"/>
      <w:bookmarkEnd w:id="459"/>
      <w:bookmarkEnd w:id="460"/>
      <w:bookmarkEnd w:id="461"/>
      <w:bookmarkEnd w:id="462"/>
      <w:bookmarkEnd w:id="463"/>
      <w:bookmarkEnd w:id="46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w:t>
      </w:r>
      <w:r>
        <w:rPr>
          <w:rFonts w:hint="eastAsia" w:ascii="宋体" w:hAnsi="宋体"/>
          <w:snapToGrid w:val="0"/>
          <w:color w:val="auto"/>
          <w:kern w:val="0"/>
          <w:szCs w:val="21"/>
          <w:highlight w:val="none"/>
          <w:lang w:eastAsia="zh-CN"/>
        </w:rPr>
        <w:t>本次比选</w:t>
      </w:r>
      <w:r>
        <w:rPr>
          <w:rFonts w:ascii="宋体" w:hAnsi="宋体"/>
          <w:snapToGrid w:val="0"/>
          <w:color w:val="auto"/>
          <w:kern w:val="0"/>
          <w:szCs w:val="21"/>
          <w:highlight w:val="none"/>
        </w:rPr>
        <w:t>活动违反法律、法规和规章规定的，有权向有关行政监督部门投诉。</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465" w:name="_Toc224103369"/>
      <w:bookmarkStart w:id="466" w:name="_Toc41900051"/>
      <w:bookmarkStart w:id="467" w:name="_Toc430530487"/>
      <w:bookmarkStart w:id="468" w:name="_Toc277082604"/>
      <w:bookmarkStart w:id="469" w:name="_Toc200513178"/>
      <w:bookmarkStart w:id="470" w:name="_Toc509218762"/>
      <w:bookmarkStart w:id="471" w:name="_Toc287607798"/>
      <w:bookmarkStart w:id="472" w:name="_Toc287620737"/>
      <w:r>
        <w:rPr>
          <w:rFonts w:ascii="宋体" w:hAnsi="宋体"/>
          <w:b w:val="0"/>
          <w:snapToGrid w:val="0"/>
          <w:color w:val="auto"/>
          <w:highlight w:val="none"/>
        </w:rPr>
        <w:t>10. 需要补充的其他内容</w:t>
      </w:r>
      <w:bookmarkEnd w:id="465"/>
      <w:bookmarkEnd w:id="466"/>
      <w:bookmarkEnd w:id="467"/>
      <w:bookmarkEnd w:id="468"/>
      <w:bookmarkEnd w:id="469"/>
      <w:bookmarkEnd w:id="470"/>
      <w:bookmarkEnd w:id="471"/>
      <w:bookmarkEnd w:id="472"/>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需要补充的其他内容：见投标人须知前附表。</w:t>
      </w:r>
    </w:p>
    <w:p>
      <w:pPr>
        <w:pageBreakBefore w:val="0"/>
        <w:kinsoku/>
        <w:wordWrap/>
        <w:overflowPunct/>
        <w:topLinePunct w:val="0"/>
        <w:autoSpaceDE w:val="0"/>
        <w:autoSpaceDN w:val="0"/>
        <w:bidi w:val="0"/>
        <w:adjustRightInd w:val="0"/>
        <w:snapToGrid w:val="0"/>
        <w:spacing w:line="340" w:lineRule="exact"/>
        <w:jc w:val="left"/>
        <w:textAlignment w:val="auto"/>
        <w:rPr>
          <w:rFonts w:ascii="宋体" w:hAnsi="宋体"/>
          <w:b/>
          <w:snapToGrid w:val="0"/>
          <w:color w:val="auto"/>
          <w:kern w:val="0"/>
          <w:highlight w:val="none"/>
        </w:rPr>
      </w:pPr>
      <w:r>
        <w:rPr>
          <w:rFonts w:ascii="宋体" w:hAnsi="宋体"/>
          <w:snapToGrid w:val="0"/>
          <w:color w:val="auto"/>
          <w:kern w:val="0"/>
          <w:szCs w:val="21"/>
          <w:highlight w:val="none"/>
        </w:rPr>
        <w:br w:type="page"/>
      </w:r>
      <w:r>
        <w:rPr>
          <w:rFonts w:ascii="宋体" w:hAnsi="宋体"/>
          <w:b/>
          <w:snapToGrid w:val="0"/>
          <w:color w:val="auto"/>
          <w:kern w:val="0"/>
          <w:highlight w:val="none"/>
        </w:rPr>
        <w:t>附表一：开标记录表</w:t>
      </w:r>
    </w:p>
    <w:p>
      <w:pPr>
        <w:autoSpaceDE w:val="0"/>
        <w:autoSpaceDN w:val="0"/>
        <w:adjustRightInd w:val="0"/>
        <w:snapToGrid w:val="0"/>
        <w:spacing w:line="360" w:lineRule="auto"/>
        <w:jc w:val="left"/>
        <w:rPr>
          <w:rFonts w:ascii="宋体" w:hAnsi="宋体"/>
          <w:b/>
          <w:snapToGrid w:val="0"/>
          <w:color w:val="auto"/>
          <w:kern w:val="0"/>
          <w:highlight w:val="none"/>
        </w:rPr>
      </w:pPr>
    </w:p>
    <w:p>
      <w:pPr>
        <w:tabs>
          <w:tab w:val="left" w:pos="3529"/>
          <w:tab w:val="left" w:pos="5060"/>
        </w:tabs>
        <w:autoSpaceDE w:val="0"/>
        <w:autoSpaceDN w:val="0"/>
        <w:adjustRightInd w:val="0"/>
        <w:snapToGrid w:val="0"/>
        <w:spacing w:line="360" w:lineRule="auto"/>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rPr>
        <w:t>（项目名称）</w:t>
      </w: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rPr>
        <w:t>标段施工开标记录表</w:t>
      </w:r>
    </w:p>
    <w:p>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08"/>
        <w:gridCol w:w="567"/>
        <w:gridCol w:w="851"/>
        <w:gridCol w:w="992"/>
        <w:gridCol w:w="1188"/>
        <w:gridCol w:w="947"/>
        <w:gridCol w:w="947"/>
        <w:gridCol w:w="947"/>
        <w:gridCol w:w="947"/>
        <w:gridCol w:w="94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2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708"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56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密封</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情况</w:t>
            </w:r>
          </w:p>
        </w:tc>
        <w:tc>
          <w:tcPr>
            <w:tcW w:w="851"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投标保</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证金</w:t>
            </w:r>
          </w:p>
        </w:tc>
        <w:tc>
          <w:tcPr>
            <w:tcW w:w="992" w:type="dxa"/>
            <w:tcBorders>
              <w:right w:val="single" w:color="auto" w:sz="4" w:space="0"/>
            </w:tcBorders>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总报价</w:t>
            </w:r>
          </w:p>
        </w:tc>
        <w:tc>
          <w:tcPr>
            <w:tcW w:w="1188" w:type="dxa"/>
            <w:tcBorders>
              <w:left w:val="single" w:color="auto" w:sz="4" w:space="0"/>
            </w:tcBorders>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安全文明</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施工费</w:t>
            </w:r>
            <w:r>
              <w:rPr>
                <w:rFonts w:hint="eastAsia" w:ascii="宋体" w:hAnsi="宋体"/>
                <w:snapToGrid w:val="0"/>
                <w:color w:val="auto"/>
                <w:kern w:val="0"/>
                <w:szCs w:val="21"/>
                <w:highlight w:val="none"/>
              </w:rPr>
              <w:t>暂定金额</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目标</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经理</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948"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1702" w:type="dxa"/>
            <w:gridSpan w:val="3"/>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7767" w:type="dxa"/>
            <w:gridSpan w:val="8"/>
            <w:vAlign w:val="center"/>
          </w:tcPr>
          <w:p>
            <w:pPr>
              <w:autoSpaceDE w:val="0"/>
              <w:autoSpaceDN w:val="0"/>
              <w:adjustRightInd w:val="0"/>
              <w:snapToGrid w:val="0"/>
              <w:jc w:val="left"/>
              <w:rPr>
                <w:rFonts w:ascii="宋体" w:hAnsi="宋体"/>
                <w:snapToGrid w:val="0"/>
                <w:color w:val="auto"/>
                <w:kern w:val="0"/>
                <w:szCs w:val="21"/>
                <w:highlight w:val="none"/>
              </w:rPr>
            </w:pPr>
          </w:p>
        </w:tc>
      </w:tr>
    </w:tbl>
    <w:p>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代表：</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 监标人：</w:t>
      </w:r>
      <w:r>
        <w:rPr>
          <w:rFonts w:hint="eastAsia" w:ascii="宋体" w:hAnsi="宋体" w:cs="MingLiU"/>
          <w:snapToGrid w:val="0"/>
          <w:color w:val="auto"/>
          <w:w w:val="200"/>
          <w:kern w:val="0"/>
          <w:szCs w:val="21"/>
          <w:highlight w:val="none"/>
          <w:u w:val="single"/>
        </w:rPr>
        <w:t xml:space="preserve">          </w:t>
      </w:r>
    </w:p>
    <w:p>
      <w:pPr>
        <w:autoSpaceDE w:val="0"/>
        <w:autoSpaceDN w:val="0"/>
        <w:adjustRightInd w:val="0"/>
        <w:snapToGrid w:val="0"/>
        <w:spacing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附表二：问题澄清通知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center"/>
        <w:rPr>
          <w:rFonts w:hint="eastAsia"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rPr>
          <w:rFonts w:ascii="宋体" w:hAnsi="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hint="eastAsia" w:ascii="宋体" w:hAnsi="宋体"/>
          <w:snapToGrid w:val="0"/>
          <w:color w:val="auto"/>
          <w:kern w:val="0"/>
          <w:sz w:val="24"/>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8"/>
          <w:szCs w:val="28"/>
          <w:highlight w:val="none"/>
        </w:rPr>
      </w:pPr>
    </w:p>
    <w:p>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r>
        <w:rPr>
          <w:rFonts w:ascii="宋体" w:hAnsi="宋体"/>
          <w:snapToGrid w:val="0"/>
          <w:color w:val="auto"/>
          <w:kern w:val="0"/>
          <w:sz w:val="24"/>
          <w:highlight w:val="none"/>
        </w:rPr>
        <w:t xml:space="preserve"> </w:t>
      </w:r>
    </w:p>
    <w:p>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附表三：问题的澄清</w:t>
      </w:r>
    </w:p>
    <w:p>
      <w:pPr>
        <w:autoSpaceDE w:val="0"/>
        <w:autoSpaceDN w:val="0"/>
        <w:adjustRightInd w:val="0"/>
        <w:snapToGrid w:val="0"/>
        <w:spacing w:line="360" w:lineRule="auto"/>
        <w:jc w:val="left"/>
        <w:rPr>
          <w:rFonts w:ascii="宋体" w:hAnsi="宋体"/>
          <w:b/>
          <w:snapToGrid w:val="0"/>
          <w:color w:val="auto"/>
          <w:kern w:val="0"/>
          <w:sz w:val="10"/>
          <w:szCs w:val="10"/>
          <w:highlight w:val="none"/>
        </w:rPr>
      </w:pPr>
    </w:p>
    <w:p>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标段施工招标评标委员会：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2"/>
          <w:szCs w:val="22"/>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（签字或盖章）</w:t>
      </w:r>
    </w:p>
    <w:p>
      <w:pPr>
        <w:autoSpaceDE w:val="0"/>
        <w:autoSpaceDN w:val="0"/>
        <w:adjustRightInd w:val="0"/>
        <w:snapToGrid w:val="0"/>
        <w:spacing w:line="360" w:lineRule="auto"/>
        <w:jc w:val="right"/>
        <w:rPr>
          <w:rFonts w:ascii="宋体" w:hAnsi="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附表四：中标通知书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spacing w:line="360" w:lineRule="auto"/>
        <w:rPr>
          <w:rFonts w:hint="eastAsia"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rFonts w:hint="eastAsia" w:ascii="宋体" w:hAnsi="宋体"/>
          <w:color w:val="auto"/>
          <w:kern w:val="0"/>
          <w:szCs w:val="21"/>
          <w:highlight w:val="none"/>
        </w:rPr>
        <w:t>在此之前按招标文件第二章“投标人须知”第7.3款规定向我方提交履约担保。</w:t>
      </w:r>
    </w:p>
    <w:p>
      <w:pPr>
        <w:spacing w:line="360" w:lineRule="auto"/>
        <w:rPr>
          <w:rFonts w:ascii="宋体" w:hAnsi="宋体"/>
          <w:color w:val="auto"/>
          <w:kern w:val="0"/>
          <w:szCs w:val="21"/>
          <w:highlight w:val="none"/>
        </w:rPr>
      </w:pPr>
      <w:r>
        <w:rPr>
          <w:rFonts w:ascii="宋体" w:hAnsi="宋体"/>
          <w:color w:val="auto"/>
          <w:kern w:val="0"/>
          <w:szCs w:val="21"/>
          <w:highlight w:val="none"/>
        </w:rPr>
        <w:t xml:space="preserve">    特此通知。</w:t>
      </w: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lang w:eastAsia="zh-CN"/>
        </w:rPr>
        <w:t>比选人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w:t>
      </w:r>
      <w:r>
        <w:rPr>
          <w:rFonts w:ascii="宋体" w:hAnsi="宋体"/>
          <w:snapToGrid w:val="0"/>
          <w:color w:val="auto"/>
          <w:kern w:val="0"/>
          <w:szCs w:val="21"/>
          <w:highlight w:val="none"/>
        </w:rPr>
        <w:t>盖单位法人章</w:t>
      </w:r>
      <w:r>
        <w:rPr>
          <w:rFonts w:ascii="宋体" w:hAnsi="宋体"/>
          <w:color w:val="auto"/>
          <w:kern w:val="0"/>
          <w:sz w:val="24"/>
          <w:highlight w:val="none"/>
        </w:rPr>
        <w:t>）</w:t>
      </w: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法定代表人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（签字或盖章）</w:t>
      </w:r>
    </w:p>
    <w:p>
      <w:pPr>
        <w:spacing w:line="480" w:lineRule="auto"/>
        <w:jc w:val="left"/>
        <w:rPr>
          <w:rFonts w:ascii="宋体" w:hAnsi="宋体"/>
          <w:color w:val="auto"/>
          <w:kern w:val="0"/>
          <w:sz w:val="24"/>
          <w:highlight w:val="none"/>
          <w:u w:val="single"/>
        </w:rPr>
      </w:pPr>
      <w:r>
        <w:rPr>
          <w:rFonts w:ascii="宋体" w:hAnsi="宋体"/>
          <w:color w:val="auto"/>
          <w:kern w:val="0"/>
          <w:sz w:val="24"/>
          <w:highlight w:val="none"/>
        </w:rPr>
        <w:t xml:space="preserve">                                 联系人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联系电话</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pPr>
        <w:spacing w:line="480" w:lineRule="auto"/>
        <w:jc w:val="right"/>
        <w:rPr>
          <w:rFonts w:hint="eastAsia" w:ascii="宋体" w:hAnsi="宋体"/>
          <w:color w:val="auto"/>
          <w:kern w:val="0"/>
          <w:sz w:val="24"/>
          <w:highlight w:val="none"/>
        </w:rPr>
      </w:pPr>
    </w:p>
    <w:p>
      <w:pPr>
        <w:spacing w:line="480" w:lineRule="auto"/>
        <w:jc w:val="right"/>
        <w:rPr>
          <w:rFonts w:hint="eastAsia" w:ascii="宋体" w:hAnsi="宋体"/>
          <w:color w:val="auto"/>
          <w:kern w:val="0"/>
          <w:sz w:val="24"/>
          <w:highlight w:val="none"/>
        </w:rPr>
      </w:pPr>
    </w:p>
    <w:p>
      <w:pPr>
        <w:pageBreakBefore w:val="0"/>
        <w:kinsoku/>
        <w:wordWrap/>
        <w:overflowPunct/>
        <w:topLinePunct w:val="0"/>
        <w:autoSpaceDE w:val="0"/>
        <w:autoSpaceDN w:val="0"/>
        <w:bidi w:val="0"/>
        <w:adjustRightInd w:val="0"/>
        <w:snapToGrid w:val="0"/>
        <w:spacing w:line="340" w:lineRule="exact"/>
        <w:ind w:firstLine="480" w:firstLineChars="200"/>
        <w:textAlignment w:val="auto"/>
        <w:rPr>
          <w:rFonts w:ascii="宋体" w:hAnsi="宋体"/>
          <w:snapToGrid w:val="0"/>
          <w:color w:val="auto"/>
          <w:kern w:val="0"/>
          <w:szCs w:val="21"/>
          <w:highlight w:val="none"/>
        </w:rPr>
      </w:pP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ascii="宋体" w:hAnsi="宋体"/>
          <w:color w:val="auto"/>
          <w:kern w:val="0"/>
          <w:sz w:val="24"/>
          <w:highlight w:val="none"/>
        </w:rPr>
        <w:t xml:space="preserve"> 签发日期</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年</w:t>
      </w:r>
      <w:r>
        <w:rPr>
          <w:rFonts w:ascii="宋体" w:hAnsi="宋体"/>
          <w:color w:val="auto"/>
          <w:kern w:val="0"/>
          <w:sz w:val="24"/>
          <w:highlight w:val="none"/>
          <w:u w:val="single"/>
        </w:rPr>
        <w:t xml:space="preserve">     </w:t>
      </w:r>
      <w:r>
        <w:rPr>
          <w:rFonts w:ascii="宋体" w:hAnsi="宋体"/>
          <w:color w:val="auto"/>
          <w:kern w:val="0"/>
          <w:sz w:val="24"/>
          <w:highlight w:val="none"/>
        </w:rPr>
        <w:t>月</w:t>
      </w:r>
      <w:r>
        <w:rPr>
          <w:rFonts w:ascii="宋体" w:hAnsi="宋体"/>
          <w:color w:val="auto"/>
          <w:kern w:val="0"/>
          <w:sz w:val="24"/>
          <w:highlight w:val="none"/>
          <w:u w:val="single"/>
        </w:rPr>
        <w:t xml:space="preserve">     </w:t>
      </w:r>
      <w:r>
        <w:rPr>
          <w:rFonts w:ascii="宋体" w:hAnsi="宋体"/>
          <w:color w:val="auto"/>
          <w:kern w:val="0"/>
          <w:sz w:val="24"/>
          <w:highlight w:val="none"/>
        </w:rPr>
        <w:t>日</w:t>
      </w:r>
    </w:p>
    <w:p>
      <w:pPr>
        <w:pStyle w:val="3"/>
        <w:spacing w:line="360" w:lineRule="auto"/>
        <w:jc w:val="center"/>
        <w:rPr>
          <w:rFonts w:ascii="宋体" w:hAnsi="宋体"/>
          <w:snapToGrid w:val="0"/>
          <w:color w:val="auto"/>
          <w:kern w:val="0"/>
          <w:highlight w:val="none"/>
        </w:rPr>
      </w:pPr>
      <w:r>
        <w:rPr>
          <w:rFonts w:ascii="宋体" w:hAnsi="宋体"/>
          <w:snapToGrid w:val="0"/>
          <w:color w:val="auto"/>
          <w:kern w:val="0"/>
          <w:szCs w:val="21"/>
          <w:highlight w:val="none"/>
        </w:rPr>
        <w:br w:type="page"/>
      </w:r>
      <w:bookmarkStart w:id="473" w:name="_Toc41900052"/>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473"/>
    </w:p>
    <w:p>
      <w:pPr>
        <w:keepNext/>
        <w:keepLines/>
        <w:spacing w:before="100" w:after="100" w:line="360" w:lineRule="auto"/>
        <w:outlineLvl w:val="1"/>
        <w:rPr>
          <w:rFonts w:ascii="宋体" w:hAnsi="宋体"/>
          <w:b/>
          <w:color w:val="auto"/>
          <w:sz w:val="32"/>
          <w:szCs w:val="32"/>
          <w:highlight w:val="none"/>
        </w:rPr>
      </w:pPr>
      <w:bookmarkStart w:id="474" w:name="_Toc41900053"/>
      <w:r>
        <w:rPr>
          <w:rFonts w:hint="eastAsia" w:ascii="宋体" w:hAnsi="宋体"/>
          <w:b/>
          <w:color w:val="auto"/>
          <w:sz w:val="32"/>
          <w:szCs w:val="32"/>
          <w:highlight w:val="none"/>
        </w:rPr>
        <w:t>评标办法前附表</w:t>
      </w:r>
      <w:bookmarkEnd w:id="474"/>
    </w:p>
    <w:p>
      <w:pPr>
        <w:spacing w:line="400" w:lineRule="exact"/>
        <w:ind w:firstLine="427" w:firstLineChars="196"/>
        <w:rPr>
          <w:rFonts w:ascii="宋体" w:hAnsi="宋体"/>
          <w:color w:val="auto"/>
          <w:spacing w:val="4"/>
          <w:kern w:val="0"/>
          <w:szCs w:val="21"/>
          <w:highlight w:val="none"/>
        </w:rPr>
      </w:pPr>
      <w:bookmarkStart w:id="475" w:name="_Toc13210726"/>
      <w:r>
        <w:rPr>
          <w:rFonts w:ascii="宋体" w:hAnsi="宋体"/>
          <w:color w:val="auto"/>
          <w:spacing w:val="4"/>
          <w:kern w:val="0"/>
          <w:szCs w:val="21"/>
          <w:highlight w:val="none"/>
        </w:rPr>
        <w:t>评标办法前附表中的评审内容必须和投标人须知前附表中的对应内容一致，若投标人须知前附表中未作要求的内容，不得列入评标办法前附表作为评定依据。</w:t>
      </w:r>
      <w:bookmarkEnd w:id="475"/>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117"/>
        <w:gridCol w:w="4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pStyle w:val="292"/>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292"/>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若出现投标人投标报价相同的，以“投标人在红名单中优先”的原则排序；投标人均在红名单中或均不在红名单中的，由评标委员会按照</w:t>
            </w:r>
            <w:r>
              <w:rPr>
                <w:rFonts w:hint="eastAsia" w:ascii="宋体" w:hAnsi="宋体"/>
                <w:color w:val="auto"/>
                <w:spacing w:val="4"/>
                <w:kern w:val="0"/>
                <w:szCs w:val="21"/>
                <w:highlight w:val="none"/>
                <w:u w:val="single"/>
              </w:rPr>
              <w:t xml:space="preserve">资质等级高 </w:t>
            </w:r>
            <w:r>
              <w:rPr>
                <w:rFonts w:hint="eastAsia" w:ascii="宋体" w:hAnsi="宋体"/>
                <w:color w:val="auto"/>
                <w:spacing w:val="4"/>
                <w:kern w:val="0"/>
                <w:szCs w:val="21"/>
                <w:highlight w:val="none"/>
              </w:rPr>
              <w:t>原则排序；上述均相同的，由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报价顺序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取报价排序前7名（若实际投标人数量小于要求数量，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765" w:type="dxa"/>
            <w:tcBorders>
              <w:top w:val="single" w:color="auto" w:sz="4" w:space="0"/>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u w:val="singl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2</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投标人名称</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投标函签字盖章</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投标函格式规定签字、盖章的位置有法定代表人或其委托代理人签字（或盖章）、加盖单位法人章。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投标文件格式</w:t>
            </w:r>
          </w:p>
        </w:tc>
        <w:tc>
          <w:tcPr>
            <w:tcW w:w="4765" w:type="dxa"/>
            <w:tcBorders>
              <w:left w:val="single" w:color="auto" w:sz="4" w:space="0"/>
            </w:tcBorders>
            <w:vAlign w:val="center"/>
          </w:tcPr>
          <w:p>
            <w:pPr>
              <w:snapToGrid w:val="0"/>
              <w:spacing w:line="400" w:lineRule="exact"/>
              <w:ind w:firstLine="380" w:firstLineChars="181"/>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投标文件份数</w:t>
            </w:r>
          </w:p>
        </w:tc>
        <w:tc>
          <w:tcPr>
            <w:tcW w:w="4765" w:type="dxa"/>
            <w:tcBorders>
              <w:left w:val="single" w:color="auto" w:sz="4" w:space="0"/>
            </w:tcBorders>
            <w:vAlign w:val="center"/>
          </w:tcPr>
          <w:p>
            <w:pPr>
              <w:snapToGrid w:val="0"/>
              <w:spacing w:line="400" w:lineRule="exact"/>
              <w:ind w:firstLine="380" w:firstLineChars="181"/>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765" w:type="dxa"/>
            <w:tcBorders>
              <w:left w:val="single" w:color="auto" w:sz="4" w:space="0"/>
            </w:tcBorders>
            <w:vAlign w:val="center"/>
          </w:tcPr>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76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投标文件上法定代表人或其委托代理人的签字（或盖章）</w:t>
            </w:r>
            <w:r>
              <w:rPr>
                <w:rFonts w:hint="eastAsia" w:ascii="宋体" w:hAnsi="宋体" w:cs="宋体"/>
                <w:color w:val="auto"/>
                <w:kern w:val="0"/>
                <w:highlight w:val="none"/>
                <w:lang w:val="en-US" w:eastAsia="zh-CN"/>
              </w:rPr>
              <w:t>须</w:t>
            </w:r>
            <w:r>
              <w:rPr>
                <w:rFonts w:hint="eastAsia" w:ascii="宋体" w:hAnsi="宋体" w:cs="宋体"/>
                <w:color w:val="auto"/>
                <w:kern w:val="0"/>
                <w:highlight w:val="none"/>
              </w:rPr>
              <w:t>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765" w:type="dxa"/>
            <w:tcBorders>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eastAsia="宋体" w:cs="宋体"/>
                <w:color w:val="auto"/>
                <w:kern w:val="0"/>
                <w:sz w:val="21"/>
                <w:szCs w:val="21"/>
              </w:rPr>
              <w:t>投标人法定代表人的委托代理人有法定代表人签署的授权委托书和养老保险</w:t>
            </w:r>
            <w:r>
              <w:rPr>
                <w:rFonts w:hint="eastAsia" w:ascii="宋体" w:hAnsi="宋体" w:cs="宋体"/>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765" w:type="dxa"/>
            <w:tcBorders>
              <w:left w:val="single" w:color="auto" w:sz="4" w:space="0"/>
            </w:tcBorders>
            <w:vAlign w:val="center"/>
          </w:tcPr>
          <w:p>
            <w:pPr>
              <w:snapToGrid w:val="0"/>
              <w:spacing w:line="400" w:lineRule="exact"/>
              <w:ind w:firstLine="420" w:firstLineChars="200"/>
              <w:rPr>
                <w:rFonts w:hint="eastAsia"/>
              </w:rPr>
            </w:pPr>
            <w:r>
              <w:rPr>
                <w:rFonts w:hint="eastAsia"/>
              </w:rPr>
              <w:t>1.投标总报价必须与已标价工程量清单总报价一致。</w:t>
            </w:r>
          </w:p>
          <w:p>
            <w:pPr>
              <w:snapToGrid w:val="0"/>
              <w:spacing w:line="400" w:lineRule="exact"/>
              <w:ind w:firstLine="420" w:firstLineChars="200"/>
              <w:rPr>
                <w:rFonts w:hint="eastAsia"/>
              </w:rPr>
            </w:pPr>
            <w:r>
              <w:rPr>
                <w:rFonts w:hint="eastAsia"/>
              </w:rPr>
              <w:t>2</w:t>
            </w:r>
            <w:r>
              <w:t>.</w:t>
            </w:r>
            <w:r>
              <w:rPr>
                <w:rFonts w:hint="eastAsia"/>
              </w:rPr>
              <w:t>投标总报价不得高于</w:t>
            </w:r>
            <w:r>
              <w:rPr>
                <w:rFonts w:hint="eastAsia"/>
                <w:lang w:eastAsia="zh-CN"/>
              </w:rPr>
              <w:t>比选人</w:t>
            </w:r>
            <w:r>
              <w:rPr>
                <w:rFonts w:hint="eastAsia"/>
              </w:rPr>
              <w:t>公布的投标总报价最高限价。</w:t>
            </w:r>
          </w:p>
          <w:p>
            <w:pPr>
              <w:pStyle w:val="2"/>
              <w:ind w:firstLine="420" w:firstLineChars="200"/>
            </w:pPr>
            <w:r>
              <w:rPr>
                <w:rFonts w:hint="eastAsia" w:ascii="宋体" w:hAnsi="宋体" w:cs="宋体"/>
                <w:szCs w:val="21"/>
              </w:rPr>
              <w:t>3.</w:t>
            </w:r>
            <w:r>
              <w:rPr>
                <w:rFonts w:hint="eastAsia" w:ascii="宋体" w:hAnsi="宋体" w:cs="宋体"/>
                <w:szCs w:val="21"/>
                <w:lang w:eastAsia="zh-CN"/>
              </w:rPr>
              <w:t>投标</w:t>
            </w:r>
            <w:r>
              <w:rPr>
                <w:rFonts w:hint="eastAsia" w:ascii="宋体" w:hAnsi="宋体" w:cs="宋体"/>
                <w:szCs w:val="21"/>
              </w:rPr>
              <w:t>总报价低于最高限价85%的，</w:t>
            </w:r>
            <w:r>
              <w:rPr>
                <w:rFonts w:hint="eastAsia" w:ascii="宋体" w:hAnsi="宋体" w:cs="宋体"/>
                <w:szCs w:val="21"/>
                <w:lang w:eastAsia="zh-CN"/>
              </w:rPr>
              <w:t>投标</w:t>
            </w:r>
            <w:r>
              <w:rPr>
                <w:rFonts w:hint="eastAsia" w:ascii="宋体" w:hAnsi="宋体" w:cs="宋体"/>
                <w:szCs w:val="21"/>
              </w:rPr>
              <w:t>人应在编制</w:t>
            </w:r>
            <w:r>
              <w:rPr>
                <w:rFonts w:hint="eastAsia" w:ascii="宋体" w:hAnsi="宋体" w:cs="宋体"/>
                <w:kern w:val="0"/>
                <w:lang w:eastAsia="zh-CN"/>
              </w:rPr>
              <w:t>投标</w:t>
            </w:r>
            <w:r>
              <w:rPr>
                <w:rFonts w:hint="eastAsia" w:ascii="宋体" w:hAnsi="宋体" w:cs="宋体"/>
                <w:szCs w:val="21"/>
              </w:rPr>
              <w:t>文件时，在</w:t>
            </w:r>
            <w:r>
              <w:rPr>
                <w:rFonts w:hint="eastAsia" w:ascii="宋体" w:hAnsi="宋体" w:cs="宋体"/>
                <w:kern w:val="0"/>
                <w:lang w:eastAsia="zh-CN"/>
              </w:rPr>
              <w:t>投标</w:t>
            </w:r>
            <w:r>
              <w:rPr>
                <w:rFonts w:hint="eastAsia" w:ascii="宋体" w:hAnsi="宋体" w:cs="宋体"/>
                <w:szCs w:val="21"/>
              </w:rPr>
              <w:t>函部分中递交低价风险担保缴纳承诺书。</w:t>
            </w:r>
            <w:r>
              <w:rPr>
                <w:rFonts w:hint="eastAsia" w:ascii="宋体" w:hAnsi="宋体" w:cs="宋体"/>
                <w:bCs/>
                <w:szCs w:val="21"/>
              </w:rPr>
              <w:t>承诺书格式详见第八章</w:t>
            </w:r>
            <w:r>
              <w:rPr>
                <w:rFonts w:hint="eastAsia" w:ascii="宋体" w:hAnsi="宋体" w:cs="宋体"/>
                <w:kern w:val="0"/>
                <w:lang w:eastAsia="zh-CN"/>
              </w:rPr>
              <w:t>投标</w:t>
            </w:r>
            <w:r>
              <w:rPr>
                <w:rFonts w:hint="eastAsia" w:ascii="宋体" w:hAnsi="宋体" w:cs="宋体"/>
                <w:bCs/>
                <w:szCs w:val="21"/>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76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权利义务</w:t>
            </w:r>
          </w:p>
        </w:tc>
        <w:tc>
          <w:tcPr>
            <w:tcW w:w="4765" w:type="dxa"/>
            <w:tcBorders>
              <w:left w:val="single" w:color="auto" w:sz="4" w:space="0"/>
            </w:tcBorders>
            <w:vAlign w:val="center"/>
          </w:tcPr>
          <w:p>
            <w:pPr>
              <w:snapToGrid w:val="0"/>
              <w:spacing w:after="31" w:afterLines="10" w:line="400" w:lineRule="exact"/>
              <w:ind w:firstLine="420" w:firstLineChars="200"/>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技术标准和要求</w:t>
            </w:r>
          </w:p>
        </w:tc>
        <w:tc>
          <w:tcPr>
            <w:tcW w:w="4765" w:type="dxa"/>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w:t>
            </w:r>
          </w:p>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工程量清单</w:t>
            </w:r>
          </w:p>
        </w:tc>
        <w:tc>
          <w:tcPr>
            <w:tcW w:w="4765" w:type="dxa"/>
            <w:tcBorders>
              <w:left w:val="single" w:color="auto" w:sz="4" w:space="0"/>
            </w:tcBorders>
            <w:vAlign w:val="center"/>
          </w:tcPr>
          <w:p>
            <w:pPr>
              <w:spacing w:after="62" w:afterLines="2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投标人承诺满足以下内容：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1.符合第五章“工程量清单”给出的范围及数量。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w:t>
            </w:r>
            <w:r>
              <w:rPr>
                <w:rFonts w:hint="eastAsia" w:ascii="宋体" w:hAnsi="宋体" w:cs="宋体"/>
                <w:color w:val="auto"/>
                <w:kern w:val="0"/>
                <w:highlight w:val="none"/>
                <w:lang w:val="en-US" w:eastAsia="zh-CN"/>
              </w:rPr>
              <w:t>2.3</w:t>
            </w:r>
            <w:r>
              <w:rPr>
                <w:rFonts w:hint="eastAsia" w:ascii="宋体" w:hAnsi="宋体" w:cs="宋体"/>
                <w:color w:val="auto"/>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765" w:type="dxa"/>
            <w:tcBorders>
              <w:left w:val="single" w:color="auto" w:sz="4" w:space="0"/>
            </w:tcBorders>
            <w:vAlign w:val="center"/>
          </w:tcPr>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符合第二章“投标人须知”第1.4.3项规定。</w:t>
            </w:r>
          </w:p>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1.对报价不高于最高限价的所有投标人的投标文件，按照报价由低到高的顺序排序。</w:t>
            </w:r>
          </w:p>
          <w:p>
            <w:pPr>
              <w:spacing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注：若出现投标人投标报价相同的，以“投标人在红名单中优先”的原则排序；投标人均在红名单中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资质等级高 </w:t>
            </w:r>
            <w:r>
              <w:rPr>
                <w:rFonts w:hint="eastAsia" w:ascii="宋体" w:hAnsi="宋体"/>
                <w:color w:val="auto"/>
                <w:spacing w:val="4"/>
                <w:kern w:val="0"/>
                <w:szCs w:val="21"/>
                <w:highlight w:val="none"/>
              </w:rPr>
              <w:t>原则排序；上述均相同的，由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rPr>
          <w:rFonts w:ascii="宋体" w:hAnsi="宋体"/>
          <w:bCs w:val="0"/>
          <w:snapToGrid w:val="0"/>
          <w:color w:val="auto"/>
          <w:highlight w:val="none"/>
        </w:rPr>
      </w:pPr>
      <w:bookmarkStart w:id="476" w:name="_Toc27750"/>
      <w:bookmarkStart w:id="477" w:name="_Toc57905886"/>
      <w:r>
        <w:rPr>
          <w:rFonts w:ascii="宋体" w:hAnsi="宋体"/>
          <w:b w:val="0"/>
          <w:snapToGrid w:val="0"/>
          <w:color w:val="auto"/>
          <w:highlight w:val="none"/>
        </w:rPr>
        <w:t>1.  评标方法</w:t>
      </w:r>
      <w:bookmarkEnd w:id="476"/>
      <w:bookmarkEnd w:id="477"/>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授权直接确定中标人。若出现投标人投标报价相同的，以评标办法前附表约定的原则确定排序。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478" w:name="_Toc20502"/>
      <w:bookmarkStart w:id="479" w:name="_Toc57905887"/>
      <w:r>
        <w:rPr>
          <w:rFonts w:ascii="宋体" w:hAnsi="宋体"/>
          <w:b w:val="0"/>
          <w:snapToGrid w:val="0"/>
          <w:color w:val="auto"/>
          <w:highlight w:val="none"/>
        </w:rPr>
        <w:t>2.  评审标准</w:t>
      </w:r>
      <w:bookmarkEnd w:id="478"/>
      <w:bookmarkEnd w:id="479"/>
    </w:p>
    <w:p>
      <w:pPr>
        <w:pStyle w:val="5"/>
        <w:spacing w:before="0" w:after="0" w:line="360" w:lineRule="auto"/>
        <w:rPr>
          <w:rFonts w:hint="eastAsia" w:ascii="宋体" w:hAnsi="宋体" w:cs="宋体"/>
          <w:color w:val="auto"/>
          <w:sz w:val="21"/>
          <w:szCs w:val="21"/>
          <w:highlight w:val="none"/>
        </w:rPr>
      </w:pPr>
      <w:bookmarkStart w:id="480" w:name="_Toc3739"/>
      <w:bookmarkStart w:id="481" w:name="_Toc5790588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480"/>
      <w:r>
        <w:rPr>
          <w:rFonts w:hint="eastAsia" w:ascii="宋体" w:hAnsi="宋体" w:cs="宋体"/>
          <w:color w:val="auto"/>
          <w:sz w:val="21"/>
          <w:szCs w:val="21"/>
          <w:highlight w:val="none"/>
        </w:rPr>
        <w:t>标准</w:t>
      </w:r>
      <w:bookmarkEnd w:id="481"/>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482" w:name="_Toc16832"/>
      <w:bookmarkStart w:id="483"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482"/>
      <w:r>
        <w:rPr>
          <w:rFonts w:hint="eastAsia" w:ascii="宋体" w:hAnsi="宋体" w:cs="宋体"/>
          <w:color w:val="auto"/>
          <w:sz w:val="21"/>
          <w:szCs w:val="21"/>
          <w:highlight w:val="none"/>
        </w:rPr>
        <w:t>标准</w:t>
      </w:r>
      <w:bookmarkEnd w:id="483"/>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资格评审标准：见评标办法前附表。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484" w:name="_Toc41900058"/>
      <w:bookmarkStart w:id="485" w:name="_Toc27983293"/>
      <w:r>
        <w:rPr>
          <w:rFonts w:ascii="宋体" w:hAnsi="宋体"/>
          <w:b w:val="0"/>
          <w:snapToGrid w:val="0"/>
          <w:color w:val="auto"/>
          <w:highlight w:val="none"/>
        </w:rPr>
        <w:t>3.  评标程序</w:t>
      </w:r>
      <w:bookmarkEnd w:id="484"/>
      <w:bookmarkEnd w:id="485"/>
    </w:p>
    <w:p>
      <w:pPr>
        <w:pStyle w:val="5"/>
        <w:spacing w:before="0" w:after="0" w:line="360" w:lineRule="auto"/>
        <w:rPr>
          <w:rFonts w:ascii="宋体" w:hAnsi="宋体" w:cs="宋体"/>
          <w:color w:val="auto"/>
          <w:sz w:val="21"/>
          <w:szCs w:val="21"/>
          <w:highlight w:val="none"/>
        </w:rPr>
      </w:pPr>
      <w:bookmarkStart w:id="486" w:name="_Toc27983294"/>
      <w:bookmarkStart w:id="487" w:name="_Toc41900059"/>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486"/>
      <w:bookmarkEnd w:id="487"/>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对报价不高于最高限价的所有投标人的投标文件，按照报价由低到高的顺序排序。</w:t>
      </w:r>
    </w:p>
    <w:p>
      <w:pPr>
        <w:pStyle w:val="5"/>
        <w:spacing w:before="0" w:after="0" w:line="360" w:lineRule="auto"/>
        <w:rPr>
          <w:rFonts w:ascii="宋体" w:hAnsi="宋体" w:cs="宋体"/>
          <w:color w:val="auto"/>
          <w:sz w:val="21"/>
          <w:szCs w:val="21"/>
          <w:highlight w:val="none"/>
        </w:rPr>
      </w:pPr>
      <w:bookmarkStart w:id="488" w:name="_Toc41900060"/>
      <w:bookmarkStart w:id="489" w:name="_Toc27983295"/>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488"/>
      <w:bookmarkEnd w:id="489"/>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款规定的标准对投标文件进行符合性审查。符合性审查顺序：资格评审、形式评审、响应性评审。有一项不符合评审标准的，作否决投标处理。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.2 投标人有以下情形之一的，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）第二章“投标人须知”第1.4.3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（2）投标函中的总报价与已标价工程量清单总报价不一致的，由评标委员会作否决投标处理。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490" w:name="_Toc27983296"/>
      <w:bookmarkStart w:id="491" w:name="_Toc41900061"/>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490"/>
      <w:bookmarkEnd w:id="49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492" w:name="_Toc26860"/>
      <w:bookmarkStart w:id="493" w:name="_Toc5790589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492"/>
      <w:bookmarkEnd w:id="493"/>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除第二章“投标人须知”前附表授权直接确定中标人外，评标委员会按经评审的最低投标价法推荐中标候选人。</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rPr>
        <w:br w:type="page"/>
      </w:r>
      <w:bookmarkStart w:id="494" w:name="_Toc41900063"/>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5"/>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第三章</w:t>
            </w:r>
          </w:p>
        </w:tc>
        <w:tc>
          <w:tcPr>
            <w:tcW w:w="1899" w:type="dxa"/>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（如有）</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A-1投标人的技术方案有任何一项不满足评标办法前附表第2.2.1项评审标准要求的，技术方案评审不合格，由评标委员会作否决投标处理。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资格评审</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A-5投标人的投标截止日投标资格情况须满足投标人须知前附表1.4.1项第4条的要求，否则由评标委员会作否决投标处理。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A-8若有联合体投标人，则：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形式评审</w:t>
            </w: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A-9投标人名称必须与营业执照、资质证书、安全生产许可证一致，依法变更名称的应提交相应证明材料，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A-10投标函格式规定签字、盖章的位置有法定代表人或其委托代理人签字（或盖章）、加盖单位法人章，否则由评标委员会作否决投标处理。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A-11投标文件格式符合第二章“投标人须知”第3.7款的要求，否则由评标委员会作否决投标处理。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hint="eastAsia" w:ascii="宋体" w:hAnsi="宋体"/>
                <w:i/>
                <w:color w:val="auto"/>
                <w:szCs w:val="21"/>
                <w:highlight w:val="none"/>
              </w:rPr>
            </w:pPr>
            <w:r>
              <w:rPr>
                <w:rFonts w:hint="eastAsia" w:ascii="宋体" w:hAnsi="宋体"/>
                <w:color w:val="auto"/>
                <w:szCs w:val="21"/>
                <w:highlight w:val="none"/>
              </w:rPr>
              <w:t>A-12投标文件份数符合第二章“投标人须知”第3.7.4项的规定，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投标文件格式要求法定代表人或其委托代理人签字（或盖章）的须齐全。</w:t>
            </w:r>
            <w:r>
              <w:rPr>
                <w:rFonts w:hint="eastAsia" w:ascii="宋体" w:hAnsi="宋体" w:cs="宋体"/>
                <w:snapToGrid w:val="0"/>
                <w:color w:val="auto"/>
                <w:kern w:val="0"/>
                <w:szCs w:val="21"/>
                <w:highlight w:val="none"/>
              </w:rPr>
              <w:t>若投标单位为联合体，则联合体协议书中各联合体各成员单位签字（或盖章）须齐全，联合体协议书以外的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法定代表人或其委托代理人签字（或盖章）的须齐全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A-16投标人法定代表人的委托代理人有法定代表人签署的授权委托书</w:t>
            </w:r>
            <w:r>
              <w:rPr>
                <w:rFonts w:hint="eastAsia" w:ascii="宋体" w:hAnsi="宋体" w:eastAsia="宋体" w:cs="宋体"/>
                <w:color w:val="auto"/>
                <w:sz w:val="21"/>
                <w:szCs w:val="21"/>
              </w:rPr>
              <w:t>。且委托代理人必须提供投标人本单位为其缴纳的养老保险证明材料，否则由评标委员会作否决投标处理</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响应性评审</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w:t>
            </w:r>
            <w:r>
              <w:rPr>
                <w:rFonts w:hint="eastAsia" w:ascii="宋体" w:hAnsi="宋体" w:cs="宋体"/>
                <w:szCs w:val="21"/>
                <w:lang w:eastAsia="zh-CN"/>
              </w:rPr>
              <w:t>投标</w:t>
            </w:r>
            <w:r>
              <w:rPr>
                <w:rFonts w:hint="eastAsia" w:ascii="宋体" w:hAnsi="宋体" w:cs="宋体"/>
                <w:szCs w:val="21"/>
              </w:rPr>
              <w:t>总报价低于最高限价85%的，</w:t>
            </w:r>
            <w:r>
              <w:rPr>
                <w:rFonts w:hint="eastAsia" w:ascii="宋体" w:hAnsi="宋体" w:cs="宋体"/>
                <w:szCs w:val="21"/>
                <w:lang w:eastAsia="zh-CN"/>
              </w:rPr>
              <w:t>投标</w:t>
            </w:r>
            <w:r>
              <w:rPr>
                <w:rFonts w:hint="eastAsia" w:ascii="宋体" w:hAnsi="宋体" w:cs="宋体"/>
                <w:szCs w:val="21"/>
              </w:rPr>
              <w:t>人应在编制</w:t>
            </w:r>
            <w:r>
              <w:rPr>
                <w:rFonts w:hint="eastAsia" w:ascii="宋体" w:hAnsi="宋体" w:cs="宋体"/>
                <w:kern w:val="0"/>
                <w:lang w:eastAsia="zh-CN"/>
              </w:rPr>
              <w:t>投标</w:t>
            </w:r>
            <w:r>
              <w:rPr>
                <w:rFonts w:hint="eastAsia" w:ascii="宋体" w:hAnsi="宋体" w:cs="宋体"/>
                <w:szCs w:val="21"/>
              </w:rPr>
              <w:t>文件时，在</w:t>
            </w:r>
            <w:r>
              <w:rPr>
                <w:rFonts w:hint="eastAsia" w:ascii="宋体" w:hAnsi="宋体" w:cs="宋体"/>
                <w:kern w:val="0"/>
                <w:lang w:eastAsia="zh-CN"/>
              </w:rPr>
              <w:t>投标</w:t>
            </w:r>
            <w:r>
              <w:rPr>
                <w:rFonts w:hint="eastAsia" w:ascii="宋体" w:hAnsi="宋体" w:cs="宋体"/>
                <w:szCs w:val="21"/>
              </w:rPr>
              <w:t>函部分中递交低价风险担保缴纳承诺书</w:t>
            </w:r>
            <w:r>
              <w:rPr>
                <w:rFonts w:hint="eastAsia" w:ascii="宋体" w:hAnsi="宋体" w:cs="宋体"/>
                <w:bCs/>
                <w:szCs w:val="21"/>
              </w:rPr>
              <w:t>。</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A-21投标内容符合第二章“投标人须知”第1.3.1项规定，否则由评标委员会作否决投标处理。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A-24投标有效期符合第二章“投标人须知”第3.3.1项规定，否则由评标委员会作否决投标处理。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w:t>
            </w:r>
            <w:r>
              <w:rPr>
                <w:rFonts w:ascii="宋体" w:hAnsi="宋体"/>
                <w:color w:val="auto"/>
                <w:szCs w:val="21"/>
                <w:highlight w:val="none"/>
              </w:rPr>
              <w:t>投标人应按投标人须知前附表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A-28投标人提供的关于已标价工程量清单的承诺符合招标文件的要求，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A-30投标人有以下情形之一的，其投标文件由评标委员会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1.第二章“投标人须知”第1.4.3项规定的任何一种情形的；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noWrap w:val="0"/>
            <w:vAlign w:val="center"/>
          </w:tcPr>
          <w:p>
            <w:pPr>
              <w:spacing w:line="400" w:lineRule="exact"/>
              <w:jc w:val="center"/>
              <w:rPr>
                <w:rFonts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cs="Times New Roman"/>
                <w:color w:val="auto"/>
                <w:szCs w:val="21"/>
                <w:highlight w:val="none"/>
                <w:lang w:val="en-US" w:eastAsia="zh-CN"/>
              </w:rPr>
              <w:t>无</w:t>
            </w:r>
          </w:p>
        </w:tc>
      </w:tr>
    </w:tbl>
    <w:p>
      <w:pPr>
        <w:spacing w:line="480" w:lineRule="auto"/>
        <w:jc w:val="left"/>
        <w:rPr>
          <w:rFonts w:ascii="宋体" w:hAnsi="宋体"/>
          <w:color w:val="auto"/>
          <w:kern w:val="0"/>
          <w:sz w:val="24"/>
          <w:highlight w:val="none"/>
        </w:rPr>
      </w:pPr>
    </w:p>
    <w:p>
      <w:pPr>
        <w:spacing w:line="200" w:lineRule="exact"/>
        <w:rPr>
          <w:rFonts w:hint="eastAsia" w:ascii="宋体" w:hAnsi="宋体"/>
          <w:color w:val="auto"/>
          <w:kern w:val="0"/>
          <w:highlight w:val="none"/>
        </w:rPr>
      </w:pPr>
      <w:r>
        <w:rPr>
          <w:rFonts w:ascii="宋体" w:hAnsi="宋体"/>
          <w:snapToGrid w:val="0"/>
          <w:color w:val="auto"/>
          <w:kern w:val="0"/>
          <w:highlight w:val="none"/>
        </w:rPr>
        <w:br w:type="page"/>
      </w:r>
    </w:p>
    <w:bookmarkEnd w:id="494"/>
    <w:p>
      <w:pPr>
        <w:pStyle w:val="3"/>
        <w:spacing w:line="360" w:lineRule="auto"/>
        <w:jc w:val="center"/>
        <w:rPr>
          <w:rFonts w:ascii="宋体" w:hAnsi="宋体"/>
          <w:color w:val="auto"/>
          <w:kern w:val="0"/>
          <w:highlight w:val="none"/>
        </w:rPr>
      </w:pPr>
      <w:bookmarkStart w:id="495" w:name="招标文件03章02评标办法综合评估法00"/>
      <w:bookmarkEnd w:id="495"/>
      <w:bookmarkStart w:id="496" w:name="招标文件03章02评标办法综合评估法"/>
      <w:bookmarkEnd w:id="496"/>
      <w:bookmarkStart w:id="497" w:name="_Toc41900064"/>
      <w:bookmarkStart w:id="498" w:name="_Toc430530509"/>
      <w:bookmarkStart w:id="499" w:name="_Toc509218785"/>
      <w:r>
        <w:rPr>
          <w:rFonts w:hint="eastAsia" w:ascii="宋体" w:hAnsi="宋体"/>
          <w:color w:val="auto"/>
          <w:kern w:val="0"/>
          <w:highlight w:val="none"/>
        </w:rPr>
        <w:t>第四章  合同条款及格式</w:t>
      </w:r>
      <w:bookmarkEnd w:id="497"/>
      <w:bookmarkEnd w:id="498"/>
      <w:bookmarkEnd w:id="499"/>
    </w:p>
    <w:p>
      <w:pPr>
        <w:rPr>
          <w:rFonts w:ascii="宋体" w:hAnsi="宋体"/>
          <w:color w:val="auto"/>
          <w:sz w:val="44"/>
          <w:szCs w:val="44"/>
          <w:highlight w:val="none"/>
        </w:rPr>
      </w:pPr>
      <w:bookmarkStart w:id="500" w:name="_Toc296503025"/>
      <w:bookmarkStart w:id="501" w:name="_Toc351203480"/>
      <w:bookmarkStart w:id="502" w:name="_Toc296890982"/>
    </w:p>
    <w:p>
      <w:pPr>
        <w:keepNext w:val="0"/>
        <w:keepLines w:val="0"/>
        <w:pageBreakBefore w:val="0"/>
        <w:widowControl w:val="0"/>
        <w:kinsoku/>
        <w:wordWrap/>
        <w:overflowPunct/>
        <w:topLinePunct w:val="0"/>
        <w:autoSpaceDE/>
        <w:autoSpaceDN/>
        <w:bidi w:val="0"/>
        <w:spacing w:line="380" w:lineRule="exact"/>
        <w:jc w:val="center"/>
        <w:textAlignment w:val="auto"/>
        <w:outlineLvl w:val="9"/>
        <w:rPr>
          <w:b/>
          <w:color w:val="auto"/>
          <w:sz w:val="32"/>
          <w:szCs w:val="32"/>
          <w:highlight w:val="none"/>
        </w:rPr>
      </w:pPr>
      <w:r>
        <w:rPr>
          <w:rFonts w:ascii="宋体" w:hAnsi="宋体"/>
          <w:color w:val="auto"/>
          <w:sz w:val="44"/>
          <w:szCs w:val="44"/>
          <w:highlight w:val="none"/>
        </w:rPr>
        <w:br w:type="page"/>
      </w:r>
      <w:bookmarkStart w:id="503" w:name="_Toc351203632"/>
      <w:bookmarkStart w:id="504" w:name="_Toc8216"/>
      <w:r>
        <w:rPr>
          <w:rFonts w:hint="eastAsia"/>
          <w:b/>
          <w:color w:val="auto"/>
          <w:sz w:val="32"/>
          <w:szCs w:val="32"/>
          <w:highlight w:val="none"/>
        </w:rPr>
        <w:t>第一节  合同协议书</w:t>
      </w:r>
    </w:p>
    <w:p>
      <w:pPr>
        <w:pageBreakBefore w:val="0"/>
        <w:kinsoku/>
        <w:wordWrap/>
        <w:overflowPunct/>
        <w:topLinePunct w:val="0"/>
        <w:autoSpaceDE/>
        <w:autoSpaceDN/>
        <w:bidi w:val="0"/>
        <w:snapToGrid w:val="0"/>
        <w:spacing w:beforeAutospacing="0" w:afterAutospacing="0" w:line="320" w:lineRule="exact"/>
        <w:textAlignment w:val="auto"/>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pPr>
        <w:pageBreakBefore w:val="0"/>
        <w:kinsoku/>
        <w:wordWrap/>
        <w:overflowPunct/>
        <w:topLinePunct w:val="0"/>
        <w:autoSpaceDE/>
        <w:autoSpaceDN/>
        <w:bidi w:val="0"/>
        <w:snapToGrid w:val="0"/>
        <w:spacing w:beforeAutospacing="0" w:afterAutospacing="0" w:line="320" w:lineRule="exact"/>
        <w:textAlignment w:val="auto"/>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
          <w:color w:val="auto"/>
          <w:szCs w:val="21"/>
          <w:highlight w:val="none"/>
          <w:u w:val="single"/>
        </w:rPr>
      </w:pPr>
      <w:r>
        <w:rPr>
          <w:rFonts w:hint="eastAsia" w:ascii="宋体" w:hAnsi="宋体"/>
          <w:color w:val="auto"/>
          <w:szCs w:val="21"/>
          <w:highlight w:val="none"/>
        </w:rPr>
        <w:t>根据《中华人民共和国</w:t>
      </w:r>
      <w:r>
        <w:rPr>
          <w:rFonts w:hint="eastAsia" w:ascii="宋体" w:hAnsi="宋体"/>
          <w:color w:val="auto"/>
          <w:szCs w:val="21"/>
          <w:highlight w:val="none"/>
          <w:lang w:val="en-US" w:eastAsia="zh-CN"/>
        </w:rPr>
        <w:t>民法典</w:t>
      </w:r>
      <w:r>
        <w:rPr>
          <w:rFonts w:hint="eastAsia" w:ascii="宋体" w:hAnsi="宋体"/>
          <w:color w:val="auto"/>
          <w:szCs w:val="21"/>
          <w:highlight w:val="none"/>
        </w:rPr>
        <w:t>》、《中华人民共和国建筑法》及有关法律、法规规定，遵循平等、自愿、公平和诚实信用的原则，双方就</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05" w:name="_Toc532375573"/>
      <w:bookmarkStart w:id="506" w:name="_Toc532377166"/>
      <w:bookmarkStart w:id="507" w:name="_Toc351203481"/>
      <w:r>
        <w:rPr>
          <w:rFonts w:hint="eastAsia"/>
          <w:color w:val="auto"/>
          <w:kern w:val="2"/>
          <w:sz w:val="21"/>
          <w:szCs w:val="21"/>
          <w:highlight w:val="none"/>
        </w:rPr>
        <w:t>一、工程概况</w:t>
      </w:r>
      <w:bookmarkEnd w:id="505"/>
      <w:bookmarkEnd w:id="506"/>
      <w:bookmarkEnd w:id="507"/>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bCs/>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08" w:name="_Toc532377167"/>
      <w:bookmarkStart w:id="509" w:name="_Toc532375574"/>
      <w:bookmarkStart w:id="510" w:name="_Toc351203482"/>
      <w:r>
        <w:rPr>
          <w:rFonts w:hint="eastAsia"/>
          <w:color w:val="auto"/>
          <w:kern w:val="2"/>
          <w:sz w:val="21"/>
          <w:szCs w:val="21"/>
          <w:highlight w:val="none"/>
        </w:rPr>
        <w:t>二、合同工期</w:t>
      </w:r>
      <w:bookmarkEnd w:id="508"/>
      <w:bookmarkEnd w:id="509"/>
      <w:bookmarkEnd w:id="51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color w:val="auto"/>
          <w:highlight w:val="none"/>
        </w:rPr>
        <w:t>工期总天数</w:t>
      </w:r>
      <w:r>
        <w:rPr>
          <w:rFonts w:hint="eastAsia"/>
          <w:color w:val="auto"/>
          <w:highlight w:val="none"/>
          <w:u w:val="single"/>
          <w:lang w:val="en-US" w:eastAsia="zh-CN"/>
        </w:rPr>
        <w:t xml:space="preserve">     </w:t>
      </w:r>
      <w:r>
        <w:rPr>
          <w:rFonts w:hint="eastAsia" w:ascii="宋体" w:hAnsi="宋体" w:cs="宋体"/>
          <w:color w:val="auto"/>
          <w:kern w:val="0"/>
          <w:szCs w:val="21"/>
          <w:highlight w:val="none"/>
          <w:u w:val="none"/>
          <w:lang w:val="en-US" w:eastAsia="zh-CN"/>
        </w:rPr>
        <w:t>日历天</w:t>
      </w:r>
      <w:r>
        <w:rPr>
          <w:color w:val="auto"/>
          <w:highlight w:val="none"/>
        </w:rPr>
        <w:t>，自监理人发出的开工通知中载明的开工日期起算</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20" w:lineRule="exact"/>
        <w:ind w:firstLine="422" w:firstLineChars="200"/>
        <w:jc w:val="both"/>
        <w:textAlignment w:val="auto"/>
        <w:rPr>
          <w:color w:val="auto"/>
          <w:kern w:val="2"/>
          <w:sz w:val="21"/>
          <w:szCs w:val="21"/>
          <w:highlight w:val="none"/>
        </w:rPr>
      </w:pPr>
      <w:bookmarkStart w:id="511" w:name="_Toc532375575"/>
      <w:bookmarkStart w:id="512" w:name="_Toc351203483"/>
      <w:bookmarkStart w:id="513" w:name="_Toc532377168"/>
      <w:r>
        <w:rPr>
          <w:rFonts w:hint="eastAsia"/>
          <w:color w:val="auto"/>
          <w:kern w:val="2"/>
          <w:sz w:val="21"/>
          <w:szCs w:val="21"/>
          <w:highlight w:val="none"/>
        </w:rPr>
        <w:t>三、质量标准</w:t>
      </w:r>
      <w:bookmarkEnd w:id="511"/>
      <w:bookmarkEnd w:id="512"/>
      <w:bookmarkEnd w:id="513"/>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工程质量符合</w:t>
      </w:r>
      <w:r>
        <w:rPr>
          <w:rFonts w:hint="eastAsia" w:ascii="宋体" w:hAnsi="宋体"/>
          <w:color w:val="auto"/>
          <w:szCs w:val="21"/>
          <w:highlight w:val="none"/>
          <w:u w:val="single"/>
        </w:rPr>
        <w:t>国家有关施工质量验收规范和标准要求，达到合格</w:t>
      </w:r>
      <w:r>
        <w:rPr>
          <w:rFonts w:hint="eastAsia" w:ascii="宋体" w:hAnsi="宋体"/>
          <w:color w:val="auto"/>
          <w:szCs w:val="21"/>
          <w:highlight w:val="none"/>
        </w:rPr>
        <w:t>标准。</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14" w:name="_Toc532375576"/>
      <w:bookmarkStart w:id="515" w:name="_Toc532377169"/>
      <w:bookmarkStart w:id="516" w:name="_Toc351203484"/>
      <w:r>
        <w:rPr>
          <w:rFonts w:hint="eastAsia"/>
          <w:color w:val="auto"/>
          <w:kern w:val="2"/>
          <w:sz w:val="21"/>
          <w:szCs w:val="21"/>
          <w:highlight w:val="none"/>
        </w:rPr>
        <w:t>四、签约合同价</w:t>
      </w:r>
      <w:bookmarkEnd w:id="514"/>
      <w:bookmarkEnd w:id="515"/>
      <w:bookmarkEnd w:id="516"/>
      <w:r>
        <w:rPr>
          <w:rFonts w:hint="eastAsia"/>
          <w:color w:val="auto"/>
          <w:kern w:val="2"/>
          <w:sz w:val="21"/>
          <w:szCs w:val="21"/>
          <w:highlight w:val="none"/>
        </w:rPr>
        <w:tab/>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金额(大写)：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(人民币)；(小写)￥：</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元（其中含安全文明施工费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w:t>
      </w:r>
      <w:r>
        <w:rPr>
          <w:rFonts w:hint="eastAsia" w:ascii="宋体" w:hAnsi="宋体"/>
          <w:color w:val="auto"/>
          <w:szCs w:val="21"/>
          <w:highlight w:val="none"/>
        </w:rPr>
        <w:t>，暂列金额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b/>
          <w:bCs/>
          <w:color w:val="auto"/>
          <w:szCs w:val="21"/>
          <w:highlight w:val="none"/>
        </w:rPr>
        <w:t>本工程最终结算金额以</w:t>
      </w:r>
      <w:r>
        <w:rPr>
          <w:rFonts w:hint="eastAsia" w:ascii="宋体" w:hAnsi="宋体"/>
          <w:b/>
          <w:bCs/>
          <w:color w:val="auto"/>
          <w:szCs w:val="21"/>
          <w:highlight w:val="none"/>
          <w:lang w:eastAsia="zh-CN"/>
        </w:rPr>
        <w:t>审计机构</w:t>
      </w:r>
      <w:r>
        <w:rPr>
          <w:rFonts w:hint="eastAsia" w:ascii="宋体" w:hAnsi="宋体"/>
          <w:b/>
          <w:bCs/>
          <w:color w:val="auto"/>
          <w:szCs w:val="21"/>
          <w:highlight w:val="none"/>
        </w:rPr>
        <w:t>审定的金额为准</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固定单价合同</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17" w:name="_Toc351203485"/>
      <w:bookmarkStart w:id="518" w:name="_Toc532377170"/>
      <w:bookmarkStart w:id="519" w:name="_Toc532375577"/>
      <w:r>
        <w:rPr>
          <w:rFonts w:hint="eastAsia"/>
          <w:color w:val="auto"/>
          <w:kern w:val="2"/>
          <w:sz w:val="21"/>
          <w:szCs w:val="21"/>
          <w:highlight w:val="none"/>
        </w:rPr>
        <w:t>五、</w:t>
      </w:r>
      <w:bookmarkEnd w:id="517"/>
      <w:r>
        <w:rPr>
          <w:rFonts w:hint="eastAsia"/>
          <w:color w:val="auto"/>
          <w:kern w:val="2"/>
          <w:sz w:val="21"/>
          <w:szCs w:val="21"/>
          <w:highlight w:val="none"/>
        </w:rPr>
        <w:t>项目经理及技术负责人</w:t>
      </w:r>
      <w:bookmarkEnd w:id="518"/>
      <w:bookmarkEnd w:id="519"/>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承包人投标文件中承诺的项目经理：</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承包人投标文件中承诺的技术负责人：</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
        <w:pageBreakBefore w:val="0"/>
        <w:kinsoku/>
        <w:wordWrap/>
        <w:overflowPunct/>
        <w:topLinePunct w:val="0"/>
        <w:autoSpaceDE/>
        <w:autoSpaceDN/>
        <w:bidi w:val="0"/>
        <w:spacing w:beforeAutospacing="0" w:after="0" w:afterAutospacing="0" w:line="320" w:lineRule="exact"/>
        <w:textAlignment w:val="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0" w:name="_Toc351203486"/>
      <w:bookmarkStart w:id="521" w:name="_Toc532377171"/>
      <w:bookmarkStart w:id="522" w:name="_Toc532375578"/>
      <w:r>
        <w:rPr>
          <w:rFonts w:hint="eastAsia"/>
          <w:color w:val="auto"/>
          <w:kern w:val="2"/>
          <w:sz w:val="21"/>
          <w:szCs w:val="21"/>
          <w:highlight w:val="none"/>
        </w:rPr>
        <w:t>六、合同文件构成</w:t>
      </w:r>
      <w:bookmarkEnd w:id="520"/>
      <w:bookmarkEnd w:id="521"/>
      <w:bookmarkEnd w:id="522"/>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合同由以下文件构成：</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（1）合同协议书；</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（2）中标通知书；</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（3）投标函及投标函附录；</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（4）专用合同条款及其附件；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（5）通用合同条款；</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（6）投标文件（投标函及投标函附录除外）；</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比选文件</w:t>
      </w:r>
      <w:r>
        <w:rPr>
          <w:rFonts w:hint="eastAsia" w:ascii="宋体" w:hAnsi="宋体"/>
          <w:color w:val="auto"/>
          <w:szCs w:val="21"/>
          <w:highlight w:val="none"/>
        </w:rPr>
        <w:t>及补遗文件；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（8）技术标准和要求；</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（9）其他合同文件。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3" w:name="_Toc351203487"/>
      <w:bookmarkStart w:id="524" w:name="_Toc532375579"/>
      <w:bookmarkStart w:id="525" w:name="_Toc532377172"/>
      <w:r>
        <w:rPr>
          <w:rFonts w:hint="eastAsia"/>
          <w:color w:val="auto"/>
          <w:kern w:val="2"/>
          <w:sz w:val="21"/>
          <w:szCs w:val="21"/>
          <w:highlight w:val="none"/>
        </w:rPr>
        <w:t>七、承诺</w:t>
      </w:r>
      <w:bookmarkEnd w:id="523"/>
      <w:bookmarkEnd w:id="524"/>
      <w:bookmarkEnd w:id="525"/>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6" w:name="_Toc532375580"/>
      <w:bookmarkStart w:id="527" w:name="_Toc532377173"/>
      <w:bookmarkStart w:id="528" w:name="_Toc351203488"/>
      <w:r>
        <w:rPr>
          <w:rFonts w:hint="eastAsia"/>
          <w:color w:val="auto"/>
          <w:kern w:val="2"/>
          <w:sz w:val="21"/>
          <w:szCs w:val="21"/>
          <w:highlight w:val="none"/>
        </w:rPr>
        <w:t>八、词语含义</w:t>
      </w:r>
      <w:bookmarkEnd w:id="526"/>
      <w:bookmarkEnd w:id="527"/>
      <w:bookmarkEnd w:id="528"/>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9" w:name="_Toc532377174"/>
      <w:bookmarkStart w:id="530" w:name="_Toc532375581"/>
      <w:r>
        <w:rPr>
          <w:rFonts w:hint="eastAsia"/>
          <w:color w:val="auto"/>
          <w:kern w:val="2"/>
          <w:sz w:val="21"/>
          <w:szCs w:val="21"/>
          <w:highlight w:val="none"/>
        </w:rPr>
        <w:t>九、签订时间</w:t>
      </w:r>
      <w:bookmarkEnd w:id="529"/>
      <w:bookmarkEnd w:id="53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日签订</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1" w:name="_Toc351203489"/>
      <w:bookmarkStart w:id="532" w:name="_Toc532377175"/>
      <w:bookmarkStart w:id="533" w:name="_Toc532375582"/>
      <w:r>
        <w:rPr>
          <w:rFonts w:hint="eastAsia"/>
          <w:color w:val="auto"/>
          <w:kern w:val="2"/>
          <w:sz w:val="21"/>
          <w:szCs w:val="21"/>
          <w:highlight w:val="none"/>
        </w:rPr>
        <w:t>十、</w:t>
      </w:r>
      <w:bookmarkEnd w:id="531"/>
      <w:bookmarkStart w:id="534" w:name="_Toc351203490"/>
      <w:r>
        <w:rPr>
          <w:rFonts w:hint="eastAsia"/>
          <w:color w:val="auto"/>
          <w:kern w:val="2"/>
          <w:sz w:val="21"/>
          <w:szCs w:val="21"/>
          <w:highlight w:val="none"/>
        </w:rPr>
        <w:t>签订地点</w:t>
      </w:r>
      <w:bookmarkEnd w:id="532"/>
      <w:bookmarkEnd w:id="533"/>
      <w:bookmarkEnd w:id="534"/>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签订。</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5" w:name="_Toc351203491"/>
      <w:bookmarkStart w:id="536" w:name="_Toc532375583"/>
      <w:bookmarkStart w:id="537" w:name="_Toc532377176"/>
      <w:r>
        <w:rPr>
          <w:rFonts w:hint="eastAsia"/>
          <w:color w:val="auto"/>
          <w:kern w:val="2"/>
          <w:sz w:val="21"/>
          <w:szCs w:val="21"/>
          <w:highlight w:val="none"/>
        </w:rPr>
        <w:t>十一、补充协议</w:t>
      </w:r>
      <w:bookmarkEnd w:id="535"/>
      <w:bookmarkEnd w:id="536"/>
      <w:bookmarkEnd w:id="537"/>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8" w:name="_Toc532377177"/>
      <w:bookmarkStart w:id="539" w:name="_Toc532375584"/>
      <w:bookmarkStart w:id="540" w:name="_Toc351203492"/>
      <w:r>
        <w:rPr>
          <w:rFonts w:hint="eastAsia"/>
          <w:color w:val="auto"/>
          <w:kern w:val="2"/>
          <w:sz w:val="21"/>
          <w:szCs w:val="21"/>
          <w:highlight w:val="none"/>
        </w:rPr>
        <w:t>十二、合同生效</w:t>
      </w:r>
      <w:bookmarkEnd w:id="538"/>
      <w:bookmarkEnd w:id="539"/>
      <w:bookmarkEnd w:id="54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rPr>
        <w:t>1.本协议书在承包人提供履约担保后</w:t>
      </w:r>
      <w:r>
        <w:rPr>
          <w:rFonts w:hint="eastAsia" w:ascii="宋体" w:hAnsi="宋体"/>
          <w:bCs/>
          <w:color w:val="auto"/>
          <w:szCs w:val="21"/>
          <w:highlight w:val="none"/>
          <w:lang w:eastAsia="zh-CN"/>
        </w:rPr>
        <w:t>，</w:t>
      </w:r>
      <w:r>
        <w:rPr>
          <w:rFonts w:hint="eastAsia" w:ascii="宋体" w:hAnsi="宋体"/>
          <w:color w:val="auto"/>
          <w:szCs w:val="21"/>
          <w:highlight w:val="none"/>
        </w:rPr>
        <w:t>经双方法定代表人或其委托代理人签字并加盖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41" w:name="_Toc532375585"/>
      <w:bookmarkStart w:id="542" w:name="_Toc351203493"/>
      <w:bookmarkStart w:id="543" w:name="_Toc532377178"/>
      <w:r>
        <w:rPr>
          <w:rFonts w:hint="eastAsia"/>
          <w:color w:val="auto"/>
          <w:kern w:val="2"/>
          <w:sz w:val="21"/>
          <w:szCs w:val="21"/>
          <w:highlight w:val="none"/>
        </w:rPr>
        <w:t>十三、合同份数</w:t>
      </w:r>
      <w:bookmarkEnd w:id="541"/>
      <w:bookmarkEnd w:id="542"/>
      <w:bookmarkEnd w:id="543"/>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pStyle w:val="2"/>
        <w:pageBreakBefore w:val="0"/>
        <w:kinsoku/>
        <w:wordWrap/>
        <w:overflowPunct/>
        <w:topLinePunct w:val="0"/>
        <w:autoSpaceDE/>
        <w:autoSpaceDN/>
        <w:bidi w:val="0"/>
        <w:spacing w:beforeAutospacing="0" w:after="0" w:afterAutospacing="0" w:line="320" w:lineRule="exact"/>
        <w:textAlignment w:val="auto"/>
        <w:rPr>
          <w:rFonts w:ascii="宋体" w:hAnsi="宋体"/>
          <w:color w:val="auto"/>
          <w:szCs w:val="21"/>
          <w:highlight w:val="none"/>
        </w:rPr>
      </w:pPr>
    </w:p>
    <w:p>
      <w:pPr>
        <w:pageBreakBefore w:val="0"/>
        <w:kinsoku/>
        <w:wordWrap/>
        <w:overflowPunct/>
        <w:topLinePunct w:val="0"/>
        <w:autoSpaceDE/>
        <w:autoSpaceDN/>
        <w:bidi w:val="0"/>
        <w:adjustRightInd w:val="0"/>
        <w:spacing w:beforeAutospacing="0" w:afterAutospacing="0" w:line="320" w:lineRule="exact"/>
        <w:ind w:firstLine="420" w:firstLineChars="200"/>
        <w:textAlignment w:val="auto"/>
        <w:rPr>
          <w:rFonts w:ascii="宋体" w:hAnsi="宋体"/>
          <w:snapToGrid w:val="0"/>
          <w:color w:val="auto"/>
          <w:kern w:val="0"/>
          <w:szCs w:val="21"/>
          <w:highlight w:val="none"/>
        </w:rPr>
      </w:pPr>
      <w:bookmarkStart w:id="544"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textAlignment w:val="auto"/>
        <w:rPr>
          <w:rFonts w:ascii="宋体" w:hAnsi="宋体"/>
          <w:snapToGrid w:val="0"/>
          <w:color w:val="auto"/>
          <w:kern w:val="0"/>
          <w:szCs w:val="21"/>
          <w:highlight w:val="none"/>
        </w:rPr>
      </w:pP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（签字）</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jc w:val="both"/>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b/>
          <w:color w:val="auto"/>
          <w:sz w:val="32"/>
          <w:szCs w:val="32"/>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544"/>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364" w:lineRule="exact"/>
        <w:jc w:val="center"/>
        <w:textAlignment w:val="auto"/>
        <w:rPr>
          <w:rFonts w:hint="eastAsia"/>
          <w:b/>
          <w:color w:val="auto"/>
          <w:sz w:val="32"/>
          <w:szCs w:val="32"/>
          <w:highlight w:val="none"/>
        </w:rPr>
      </w:pPr>
      <w:r>
        <w:rPr>
          <w:rFonts w:hint="eastAsia"/>
          <w:b/>
          <w:color w:val="auto"/>
          <w:sz w:val="32"/>
          <w:szCs w:val="32"/>
          <w:highlight w:val="none"/>
        </w:rPr>
        <w:t>通用合同条款</w:t>
      </w:r>
    </w:p>
    <w:p>
      <w:pPr>
        <w:pStyle w:val="57"/>
        <w:pageBreakBefore w:val="0"/>
        <w:kinsoku/>
        <w:wordWrap/>
        <w:overflowPunct/>
        <w:topLinePunct w:val="0"/>
        <w:autoSpaceDE/>
        <w:autoSpaceDN/>
        <w:bidi w:val="0"/>
        <w:spacing w:line="364"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参照《建设工程施工合同(示范文本)》(GF-2017-0201)通用合同条款。</w:t>
      </w:r>
    </w:p>
    <w:p>
      <w:pPr>
        <w:pStyle w:val="57"/>
        <w:pageBreakBefore w:val="0"/>
        <w:kinsoku/>
        <w:wordWrap/>
        <w:overflowPunct/>
        <w:topLinePunct w:val="0"/>
        <w:autoSpaceDE/>
        <w:autoSpaceDN/>
        <w:bidi w:val="0"/>
        <w:spacing w:line="364" w:lineRule="exact"/>
        <w:ind w:firstLine="420" w:firstLineChars="200"/>
        <w:textAlignment w:val="auto"/>
        <w:rPr>
          <w:rFonts w:hint="eastAsia" w:ascii="宋体" w:hAnsi="宋体" w:eastAsia="宋体" w:cs="宋体"/>
          <w:color w:val="auto"/>
          <w:kern w:val="2"/>
          <w:sz w:val="21"/>
          <w:szCs w:val="24"/>
          <w:highlight w:val="none"/>
          <w:lang w:val="en-US" w:eastAsia="zh-CN" w:bidi="ar-SA"/>
        </w:rPr>
      </w:pPr>
    </w:p>
    <w:p>
      <w:pPr>
        <w:pStyle w:val="4"/>
        <w:pageBreakBefore w:val="0"/>
        <w:kinsoku/>
        <w:wordWrap/>
        <w:overflowPunct/>
        <w:topLinePunct w:val="0"/>
        <w:autoSpaceDE/>
        <w:autoSpaceDN/>
        <w:bidi w:val="0"/>
        <w:spacing w:before="0" w:beforeLines="0" w:after="0" w:afterLines="0" w:line="364" w:lineRule="exact"/>
        <w:jc w:val="center"/>
        <w:textAlignment w:val="auto"/>
        <w:rPr>
          <w:rFonts w:ascii="宋体" w:hAnsi="宋体" w:cs="宋体"/>
          <w:color w:val="auto"/>
          <w:highlight w:val="none"/>
        </w:rPr>
      </w:pPr>
      <w:r>
        <w:rPr>
          <w:rFonts w:hint="eastAsia" w:ascii="宋体" w:hAnsi="宋体" w:cs="宋体"/>
          <w:color w:val="auto"/>
          <w:highlight w:val="none"/>
        </w:rPr>
        <w:t>第三节</w:t>
      </w:r>
      <w:r>
        <w:rPr>
          <w:rFonts w:hint="eastAsia" w:ascii="宋体" w:hAnsi="宋体" w:cs="宋体"/>
          <w:color w:val="auto"/>
          <w:highlight w:val="none"/>
          <w:lang w:val="en-US" w:eastAsia="zh-CN"/>
        </w:rPr>
        <w:t xml:space="preserve">  </w:t>
      </w:r>
      <w:r>
        <w:rPr>
          <w:rFonts w:hint="eastAsia" w:ascii="宋体" w:hAnsi="宋体" w:cs="宋体"/>
          <w:color w:val="auto"/>
          <w:highlight w:val="none"/>
        </w:rPr>
        <w:t>专用合同条款</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 一般约定</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  词语定义</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1.1.2  合同当事人和人员</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eastAsia="宋体"/>
          <w:color w:val="auto"/>
          <w:szCs w:val="22"/>
          <w:highlight w:val="none"/>
          <w:u w:val="single"/>
          <w:lang w:val="en-US" w:eastAsia="zh-CN"/>
        </w:rPr>
      </w:pPr>
      <w:r>
        <w:rPr>
          <w:rFonts w:hint="eastAsia" w:ascii="宋体" w:hAnsi="宋体" w:cs="宋体"/>
          <w:color w:val="auto"/>
          <w:highlight w:val="none"/>
        </w:rPr>
        <w:t>1.1.2.2  发包人：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1.1.2.3  承包人：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1.1.2.6  监理人：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  工程和设备</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1.1.3.2  永久工程：</w:t>
      </w:r>
      <w:r>
        <w:rPr>
          <w:rFonts w:hint="eastAsia" w:ascii="宋体" w:hAnsi="宋体" w:cs="宋体"/>
          <w:b/>
          <w:color w:val="auto"/>
          <w:highlight w:val="none"/>
          <w:u w:val="single"/>
        </w:rPr>
        <w:t>本工程</w:t>
      </w:r>
      <w:r>
        <w:rPr>
          <w:rFonts w:hint="eastAsia" w:ascii="宋体" w:hAnsi="宋体" w:cs="宋体"/>
          <w:b/>
          <w:color w:val="auto"/>
          <w:highlight w:val="none"/>
          <w:u w:val="single"/>
          <w:lang w:val="en-US" w:eastAsia="zh-CN"/>
        </w:rPr>
        <w:t>比选</w:t>
      </w:r>
      <w:r>
        <w:rPr>
          <w:rFonts w:hint="eastAsia" w:ascii="宋体" w:hAnsi="宋体" w:cs="宋体"/>
          <w:b/>
          <w:color w:val="auto"/>
          <w:highlight w:val="none"/>
          <w:u w:val="single"/>
        </w:rPr>
        <w:t>范围内的各项工程。</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1.1.3.3  临时工程：</w:t>
      </w:r>
      <w:r>
        <w:rPr>
          <w:rFonts w:hint="eastAsia" w:ascii="宋体" w:hAnsi="宋体" w:cs="宋体"/>
          <w:b/>
          <w:color w:val="auto"/>
          <w:highlight w:val="none"/>
          <w:u w:val="single"/>
        </w:rPr>
        <w:t>为完成前款工程所修建的各类临时性工程。</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u w:val="single"/>
        </w:rPr>
      </w:pPr>
      <w:r>
        <w:rPr>
          <w:rFonts w:hint="eastAsia" w:ascii="宋体" w:hAnsi="宋体" w:cs="宋体"/>
          <w:color w:val="auto"/>
          <w:highlight w:val="none"/>
        </w:rPr>
        <w:t>1.1.3.10  永久占地：</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1.1.3.11  临时占地：</w:t>
      </w:r>
      <w:r>
        <w:rPr>
          <w:rFonts w:hint="eastAsia" w:ascii="宋体" w:hAnsi="宋体" w:cs="宋体"/>
          <w:b/>
          <w:bCs w:val="0"/>
          <w:color w:val="auto"/>
          <w:highlight w:val="none"/>
          <w:u w:val="single"/>
        </w:rPr>
        <w:t>施工临设用地、施工便道用地等，由承包人根据现场实际情况决定，临时占地发生的费用由承包人自行承担。</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1.1.4  日期</w:t>
      </w:r>
      <w:bookmarkStart w:id="703" w:name="_GoBack"/>
      <w:bookmarkEnd w:id="703"/>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b/>
          <w:color w:val="auto"/>
          <w:szCs w:val="22"/>
          <w:highlight w:val="none"/>
          <w:u w:val="single"/>
        </w:rPr>
      </w:pPr>
      <w:r>
        <w:rPr>
          <w:rFonts w:hint="eastAsia" w:ascii="宋体" w:hAnsi="宋体" w:cs="宋体"/>
          <w:color w:val="auto"/>
          <w:highlight w:val="none"/>
        </w:rPr>
        <w:t>1.1.4.</w:t>
      </w:r>
      <w:r>
        <w:rPr>
          <w:rFonts w:hint="eastAsia" w:ascii="宋体" w:hAnsi="宋体" w:cs="宋体"/>
          <w:color w:val="auto"/>
          <w:highlight w:val="none"/>
          <w:lang w:val="en-US" w:eastAsia="zh-CN"/>
        </w:rPr>
        <w:t>4</w:t>
      </w:r>
      <w:r>
        <w:rPr>
          <w:rFonts w:hint="eastAsia" w:ascii="宋体" w:hAnsi="宋体" w:cs="宋体"/>
          <w:color w:val="auto"/>
          <w:highlight w:val="none"/>
        </w:rPr>
        <w:t>缺陷责任期：</w:t>
      </w:r>
      <w:r>
        <w:rPr>
          <w:rFonts w:hint="eastAsia" w:ascii="宋体" w:hAnsi="宋体" w:cs="宋体"/>
          <w:b/>
          <w:color w:val="auto"/>
          <w:szCs w:val="22"/>
          <w:highlight w:val="none"/>
          <w:u w:val="single"/>
          <w:lang w:val="en-US" w:eastAsia="zh-CN"/>
        </w:rPr>
        <w:t>12</w:t>
      </w:r>
      <w:r>
        <w:rPr>
          <w:rFonts w:hint="eastAsia" w:ascii="宋体" w:hAnsi="宋体" w:cs="宋体"/>
          <w:b/>
          <w:color w:val="auto"/>
          <w:szCs w:val="22"/>
          <w:highlight w:val="none"/>
          <w:u w:val="single"/>
        </w:rPr>
        <w:t>个月，自工程竣工验收合格之日起计算。</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1.4  合同文件的优先顺序</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合同文件组成及解释顺序：</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（1）合同协议书；</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（2）中标通知书；</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（3）投标函及投标函附录；</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（4）专用合同条款及其附件；</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（5）通用合同条款；</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（6）投标文件（投标函及投标函附录除外）；</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比选文件</w:t>
      </w:r>
      <w:r>
        <w:rPr>
          <w:rFonts w:hint="eastAsia" w:ascii="宋体" w:hAnsi="宋体"/>
          <w:color w:val="auto"/>
          <w:szCs w:val="21"/>
          <w:highlight w:val="none"/>
        </w:rPr>
        <w:t>及补遗文件；</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（8）技术标准和要求；</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（9）其他合同文件。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上述文件互相补充和解释，如有不明确或不一致之处，以合同约定次序在先者为准。</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  合同生效的条件</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snapToGrid w:val="0"/>
          <w:color w:val="auto"/>
          <w:szCs w:val="21"/>
          <w:highlight w:val="none"/>
        </w:rPr>
        <w:t>合同生效的条件：</w:t>
      </w:r>
      <w:r>
        <w:rPr>
          <w:rFonts w:hint="eastAsia" w:ascii="宋体" w:hAnsi="宋体" w:cs="宋体"/>
          <w:b/>
          <w:color w:val="auto"/>
          <w:szCs w:val="21"/>
          <w:highlight w:val="none"/>
          <w:u w:val="single"/>
        </w:rPr>
        <w:t>承包人向发包人支付了履约保证金后，经双方法定代表人签字并盖公章后生效。在双方履行完本合同约定的各自的权利和义务后自动失效。</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1.6  图纸和承包人文件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1.6.1  发包人提供图纸的期限、数量：</w:t>
      </w:r>
      <w:r>
        <w:rPr>
          <w:rFonts w:hint="eastAsia" w:ascii="宋体" w:hAnsi="宋体" w:cs="宋体"/>
          <w:b/>
          <w:color w:val="auto"/>
          <w:highlight w:val="none"/>
          <w:u w:val="single"/>
        </w:rPr>
        <w:t>签订合同后3日内，由发包人提供2套图纸，如果承包人要求增加所提供图纸套数，费用由承包人承担；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1.6.2  承包人提供的文件范围：</w:t>
      </w:r>
      <w:r>
        <w:rPr>
          <w:rFonts w:hint="eastAsia" w:ascii="宋体" w:hAnsi="宋体" w:cs="宋体"/>
          <w:b/>
          <w:color w:val="auto"/>
          <w:highlight w:val="none"/>
          <w:u w:val="single"/>
        </w:rPr>
        <w:t xml:space="preserve"> 施工组织设计和进度计划、专项施工方案、安全应急方案、施工扬尘专项控制方案以及按发包人要求提供的其他相关资料（含电子文档）。</w:t>
      </w:r>
    </w:p>
    <w:p>
      <w:pPr>
        <w:pageBreakBefore w:val="0"/>
        <w:kinsoku/>
        <w:wordWrap/>
        <w:overflowPunct/>
        <w:topLinePunct w:val="0"/>
        <w:autoSpaceDE/>
        <w:autoSpaceDN/>
        <w:bidi w:val="0"/>
        <w:spacing w:line="364" w:lineRule="exact"/>
        <w:ind w:firstLine="435"/>
        <w:textAlignment w:val="auto"/>
        <w:rPr>
          <w:rFonts w:ascii="宋体" w:hAnsi="宋体" w:cs="宋体"/>
          <w:b/>
          <w:color w:val="auto"/>
          <w:szCs w:val="21"/>
          <w:highlight w:val="none"/>
          <w:u w:val="single"/>
        </w:rPr>
      </w:pPr>
      <w:r>
        <w:rPr>
          <w:rFonts w:hint="eastAsia" w:ascii="宋体" w:hAnsi="宋体" w:cs="宋体"/>
          <w:color w:val="auto"/>
          <w:highlight w:val="none"/>
        </w:rPr>
        <w:t>承包人提供文件的期限、数量：</w:t>
      </w:r>
      <w:r>
        <w:rPr>
          <w:rFonts w:hint="eastAsia" w:ascii="宋体" w:hAnsi="宋体" w:cs="宋体"/>
          <w:b/>
          <w:color w:val="auto"/>
          <w:szCs w:val="21"/>
          <w:highlight w:val="none"/>
          <w:u w:val="single"/>
        </w:rPr>
        <w:t>图纸会审交底后并在距开工令发出</w:t>
      </w:r>
      <w:r>
        <w:rPr>
          <w:rFonts w:hint="eastAsia" w:ascii="宋体" w:hAnsi="宋体" w:cs="宋体"/>
          <w:b/>
          <w:color w:val="auto"/>
          <w:szCs w:val="21"/>
          <w:highlight w:val="none"/>
          <w:u w:val="single"/>
          <w:lang w:val="en-US" w:eastAsia="zh-CN"/>
        </w:rPr>
        <w:t>7</w:t>
      </w:r>
      <w:r>
        <w:rPr>
          <w:rFonts w:hint="eastAsia" w:ascii="宋体" w:hAnsi="宋体" w:cs="宋体"/>
          <w:b/>
          <w:color w:val="auto"/>
          <w:szCs w:val="21"/>
          <w:highlight w:val="none"/>
          <w:u w:val="single"/>
        </w:rPr>
        <w:t>天前，提供一式4套。</w:t>
      </w:r>
    </w:p>
    <w:p>
      <w:pPr>
        <w:pageBreakBefore w:val="0"/>
        <w:kinsoku/>
        <w:wordWrap/>
        <w:overflowPunct/>
        <w:topLinePunct w:val="0"/>
        <w:autoSpaceDE/>
        <w:autoSpaceDN/>
        <w:bidi w:val="0"/>
        <w:spacing w:line="364" w:lineRule="exact"/>
        <w:ind w:firstLine="435"/>
        <w:textAlignment w:val="auto"/>
        <w:rPr>
          <w:rFonts w:ascii="宋体" w:hAnsi="宋体" w:cs="宋体"/>
          <w:color w:val="auto"/>
          <w:highlight w:val="none"/>
        </w:rPr>
      </w:pPr>
      <w:r>
        <w:rPr>
          <w:rFonts w:hint="eastAsia" w:ascii="宋体" w:hAnsi="宋体" w:cs="宋体"/>
          <w:color w:val="auto"/>
          <w:highlight w:val="none"/>
        </w:rPr>
        <w:t>监理人批复承包人提供文件的期限：</w:t>
      </w:r>
      <w:r>
        <w:rPr>
          <w:rFonts w:hint="eastAsia" w:ascii="宋体" w:hAnsi="宋体" w:cs="宋体"/>
          <w:b/>
          <w:color w:val="auto"/>
          <w:highlight w:val="none"/>
          <w:u w:val="single"/>
        </w:rPr>
        <w:t>开工前7天。</w:t>
      </w:r>
    </w:p>
    <w:p>
      <w:pPr>
        <w:pageBreakBefore w:val="0"/>
        <w:kinsoku/>
        <w:wordWrap/>
        <w:overflowPunct/>
        <w:topLinePunct w:val="0"/>
        <w:autoSpaceDE/>
        <w:autoSpaceDN/>
        <w:bidi w:val="0"/>
        <w:spacing w:line="364" w:lineRule="exact"/>
        <w:ind w:firstLine="435"/>
        <w:textAlignment w:val="auto"/>
        <w:rPr>
          <w:rFonts w:ascii="宋体" w:hAnsi="宋体" w:cs="宋体"/>
          <w:color w:val="auto"/>
          <w:highlight w:val="none"/>
        </w:rPr>
      </w:pPr>
      <w:r>
        <w:rPr>
          <w:rFonts w:hint="eastAsia" w:ascii="宋体" w:hAnsi="宋体" w:cs="宋体"/>
          <w:color w:val="auto"/>
          <w:highlight w:val="none"/>
        </w:rPr>
        <w:t>1.6.3  监理签发图纸修改的期限：</w:t>
      </w:r>
      <w:r>
        <w:rPr>
          <w:rFonts w:hint="eastAsia" w:ascii="宋体" w:hAnsi="宋体" w:cs="宋体"/>
          <w:b/>
          <w:color w:val="auto"/>
          <w:highlight w:val="none"/>
          <w:u w:val="single"/>
        </w:rPr>
        <w:t xml:space="preserve"> 在该工程或工程部位施工前 </w:t>
      </w:r>
      <w:r>
        <w:rPr>
          <w:rFonts w:hint="eastAsia" w:ascii="宋体" w:hAnsi="宋体" w:cs="宋体"/>
          <w:b/>
          <w:color w:val="auto"/>
          <w:highlight w:val="none"/>
          <w:u w:val="single"/>
          <w:lang w:val="en-US" w:eastAsia="zh-CN"/>
        </w:rPr>
        <w:t>7</w:t>
      </w:r>
      <w:r>
        <w:rPr>
          <w:rFonts w:hint="eastAsia" w:ascii="宋体" w:hAnsi="宋体" w:cs="宋体"/>
          <w:b/>
          <w:color w:val="auto"/>
          <w:highlight w:val="none"/>
          <w:u w:val="single"/>
        </w:rPr>
        <w:t>天。</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  联络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1.7.2  联络送达的期限：</w:t>
      </w:r>
      <w:r>
        <w:rPr>
          <w:rFonts w:hint="eastAsia" w:ascii="宋体" w:hAnsi="宋体" w:cs="宋体"/>
          <w:b/>
          <w:color w:val="auto"/>
          <w:highlight w:val="none"/>
          <w:u w:val="single"/>
        </w:rPr>
        <w:t>各类文件在正式签发后，1天内现场送达项目代表，并办理签收手续。</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  发包人义务</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2.3  提供施工场地</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发包人提供施工场地和有关资料的时间：</w:t>
      </w:r>
      <w:r>
        <w:rPr>
          <w:rFonts w:hint="eastAsia" w:ascii="宋体" w:hAnsi="宋体" w:cs="宋体"/>
          <w:b/>
          <w:color w:val="auto"/>
          <w:highlight w:val="none"/>
          <w:u w:val="single"/>
        </w:rPr>
        <w:t xml:space="preserve">合同签订后3日内。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2.8  其他义务</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发包人应按约定的时间和要求完成以下工作: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2.8.1施工场地具备施工条件的要求及完成的时间:</w:t>
      </w:r>
      <w:r>
        <w:rPr>
          <w:rFonts w:hint="eastAsia" w:ascii="宋体" w:hAnsi="宋体" w:cs="宋体"/>
          <w:b/>
          <w:color w:val="auto"/>
          <w:highlight w:val="none"/>
          <w:u w:val="single"/>
        </w:rPr>
        <w:t>以现状为准</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2.8.2将施工所需的水、电、电讯线路接至施工场地的时间、地点和供应要求:</w:t>
      </w:r>
      <w:r>
        <w:rPr>
          <w:rFonts w:hint="eastAsia" w:ascii="宋体" w:hAnsi="宋体" w:cs="宋体"/>
          <w:b/>
          <w:color w:val="auto"/>
          <w:highlight w:val="none"/>
          <w:u w:val="single"/>
        </w:rPr>
        <w:t>发包人协调施工用电、用水接口，相应费用由承包人负责；接口后由承包人自行搭接、并装表计量，并承担相应费用；施工所需的电讯线路由承包人自行解决。</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2.8.3施工场地与公共道路的通道开通时间和要求:</w:t>
      </w:r>
      <w:r>
        <w:rPr>
          <w:rFonts w:hint="eastAsia" w:ascii="宋体" w:hAnsi="宋体" w:cs="宋体"/>
          <w:b/>
          <w:color w:val="auto"/>
          <w:highlight w:val="none"/>
          <w:u w:val="single"/>
        </w:rPr>
        <w:t>施工场地与公共道路的通道以现状为准</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 xml:space="preserve">2.8.4由发包人办理的施工所需证件、批件的名称和完成时间: </w:t>
      </w:r>
      <w:r>
        <w:rPr>
          <w:rFonts w:hint="eastAsia" w:ascii="宋体" w:hAnsi="宋体" w:cs="宋体"/>
          <w:b/>
          <w:color w:val="auto"/>
          <w:highlight w:val="none"/>
          <w:u w:val="single"/>
        </w:rPr>
        <w:t>合同签订后，发包人在开工前依法办理施工许可证等相关建设手续。</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2.8.5水准点与座标控制点交验要求:</w:t>
      </w:r>
      <w:r>
        <w:rPr>
          <w:rFonts w:hint="eastAsia" w:ascii="宋体" w:hAnsi="宋体" w:cs="宋体"/>
          <w:b/>
          <w:color w:val="auto"/>
          <w:highlight w:val="none"/>
          <w:u w:val="single"/>
        </w:rPr>
        <w:t>开工3天前发包人通过监理人以书面形式通知承包人，并组织相关单位进行现场交验，同时作好交验记录</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2.8.6图纸会审和设计交底时间: </w:t>
      </w:r>
      <w:r>
        <w:rPr>
          <w:rFonts w:hint="eastAsia" w:ascii="宋体" w:hAnsi="宋体" w:cs="宋体"/>
          <w:b/>
          <w:color w:val="auto"/>
          <w:highlight w:val="none"/>
          <w:u w:val="single"/>
        </w:rPr>
        <w:t>开工前3天。</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2.8.7</w:t>
      </w:r>
      <w:r>
        <w:rPr>
          <w:rFonts w:hint="eastAsia" w:ascii="宋体" w:hAnsi="宋体" w:cs="宋体"/>
          <w:b/>
          <w:color w:val="auto"/>
          <w:highlight w:val="none"/>
          <w:u w:val="single"/>
        </w:rPr>
        <w:t>协调处理施工场地周围地下管线和邻近建筑物、构筑物（含文物保护建筑）、古树名木的保护工作。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2.8.8双方约定发包人应做的其他工作: </w:t>
      </w:r>
      <w:r>
        <w:rPr>
          <w:rFonts w:hint="eastAsia" w:ascii="宋体" w:hAnsi="宋体" w:cs="宋体"/>
          <w:b/>
          <w:color w:val="auto"/>
          <w:highlight w:val="none"/>
          <w:u w:val="single"/>
        </w:rPr>
        <w:t>协助承包人处理周边关系</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  监理人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3.1  监理人的职责和权力</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 xml:space="preserve">3.1.1  发包人委托的职权: </w:t>
      </w:r>
      <w:r>
        <w:rPr>
          <w:rFonts w:hint="eastAsia" w:ascii="宋体" w:hAnsi="宋体" w:cs="宋体"/>
          <w:b/>
          <w:color w:val="auto"/>
          <w:highlight w:val="none"/>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u w:val="single"/>
        </w:rPr>
      </w:pPr>
      <w:r>
        <w:rPr>
          <w:rFonts w:hint="eastAsia" w:ascii="宋体" w:hAnsi="宋体" w:cs="宋体"/>
          <w:b/>
          <w:color w:val="auto"/>
          <w:highlight w:val="none"/>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3.1.4  监理人的职责：</w:t>
      </w:r>
      <w:r>
        <w:rPr>
          <w:rFonts w:hint="eastAsia" w:ascii="宋体" w:hAnsi="宋体" w:cs="宋体"/>
          <w:b/>
          <w:color w:val="auto"/>
          <w:highlight w:val="none"/>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3.4  监理人的指示</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3.4.4  如果发包人认为有必要，可直接向承包人发出指示，并抄送监理人。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4.  承包人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4.1  承包人的一般义务</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4.1.8 为他人提供方便</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承包人为他人提供条件的内容：</w:t>
      </w:r>
      <w:r>
        <w:rPr>
          <w:rFonts w:hint="eastAsia" w:ascii="宋体" w:hAnsi="宋体" w:cs="宋体"/>
          <w:b/>
          <w:color w:val="auto"/>
          <w:highlight w:val="none"/>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向发包人提供的办公和生活房屋及设施的要求：</w:t>
      </w:r>
      <w:r>
        <w:rPr>
          <w:rFonts w:hint="eastAsia" w:ascii="宋体" w:hAnsi="宋体" w:cs="宋体"/>
          <w:b/>
          <w:color w:val="auto"/>
          <w:highlight w:val="none"/>
          <w:u w:val="single"/>
        </w:rPr>
        <w:t>向发包人、监理单位提供现场办公室</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费用的处理方法：</w:t>
      </w:r>
      <w:r>
        <w:rPr>
          <w:rFonts w:hint="eastAsia" w:ascii="宋体" w:hAnsi="宋体" w:cs="宋体"/>
          <w:b/>
          <w:color w:val="auto"/>
          <w:highlight w:val="none"/>
          <w:u w:val="single"/>
        </w:rPr>
        <w:t>费用已含在投标报价中，不作调整。</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4.1.10 其他义务</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按照国家有关安全生产、文明施工、环境保护的法律、行政法规、部门规章，以及重庆市有关安全生产、文明施工、环境保护的地方性法规、规章和规范性文件要求进行工程安全生产、文明施工和环境保护。</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（2）负责施工所产生的所有余土、建筑和生活垃圾的外运和倾倒，并严格按有关规定执行。如果承包人不按规定执行，发包人有权另行委托符合条件单位或个人实施，费用从工程款直接扣支。</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（3）根据工程需要，提供施工使用的所有照明、围栏设施，由此所发生的费用由承包人承担。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（5）按重庆市政府有关主管部门（包括建设、交通、消防、环保等）的规定办理施工中所需相关手续（如临时用地、占道、爆破、夜间施工等），由此所发生的费用已进入投标报价内。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（6）加强施工管理，采取合理措施，尽可能不影响工程沿线正常交通、生产和生活，由此产生的各种措施费，及可能降低工效引起增加的费用由承包人承担。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（7）负责施工中为满足施工条件采取的各项措施，由此产生的费用由承包人承担。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（8）施工中应当采取必要措施防止土石方发生垮塌，因承包人措施不到位，垮塌造成的相关费用由承包人承担。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（10）承包人应按照监理人审定的施工组织设计进行施工。</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（11）工程款的支付按约定执行，承包人承诺不以未按期支付工程款为借口停工，更不得以此为由聚众闹事。</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（12）承包人应履行合同约定的其他义务，农民工保证金按相关规定执行。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（13）负责施工中所有材料采购、运输、储存保管，且应遵守国家、地方有关规定，并完善相关手续，费用自行承担。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（14）开工前，承包人应主动汇同监理人、发包人共同确认需交接部位，并作好记录，未经确认的不得开工，否则，由此造成的损失全部由承包人承担。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（15）施工中注重安全文明施工，采取一切有效预防措施，确保施工安全。施工期间，因承包人原因造成安全生产事故，导致人员伤亡、财产损失的一切经济责任和法律责任均由承包人承担。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pageBreakBefore w:val="0"/>
        <w:kinsoku/>
        <w:wordWrap/>
        <w:overflowPunct/>
        <w:topLinePunct w:val="0"/>
        <w:autoSpaceDE/>
        <w:autoSpaceDN/>
        <w:bidi w:val="0"/>
        <w:adjustRightInd/>
        <w:snapToGrid/>
        <w:spacing w:line="444" w:lineRule="exact"/>
        <w:ind w:firstLine="413" w:firstLineChars="196"/>
        <w:textAlignment w:val="auto"/>
        <w:rPr>
          <w:rFonts w:ascii="宋体" w:hAnsi="宋体" w:cs="宋体"/>
          <w:b/>
          <w:color w:val="auto"/>
          <w:highlight w:val="none"/>
          <w:u w:val="singl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）承包人应履行项目专用合同条款约定的其他义务。</w:t>
      </w:r>
    </w:p>
    <w:p>
      <w:pPr>
        <w:pageBreakBefore w:val="0"/>
        <w:kinsoku/>
        <w:wordWrap/>
        <w:overflowPunct/>
        <w:topLinePunct w:val="0"/>
        <w:autoSpaceDE/>
        <w:autoSpaceDN/>
        <w:bidi w:val="0"/>
        <w:spacing w:line="380" w:lineRule="exact"/>
        <w:textAlignment w:val="auto"/>
        <w:rPr>
          <w:rFonts w:hint="eastAsia" w:ascii="宋体" w:hAnsi="宋体" w:cs="宋体"/>
          <w:b/>
          <w:color w:val="auto"/>
          <w:lang w:eastAsia="zh-CN"/>
        </w:rPr>
      </w:pPr>
      <w:r>
        <w:rPr>
          <w:rFonts w:hint="eastAsia" w:ascii="宋体" w:hAnsi="宋体" w:cs="宋体"/>
          <w:b/>
          <w:color w:val="auto"/>
        </w:rPr>
        <w:t>4.2 履约担保</w:t>
      </w:r>
      <w:r>
        <w:rPr>
          <w:rFonts w:hint="eastAsia" w:ascii="宋体" w:hAnsi="宋体" w:cs="宋体"/>
          <w:b/>
          <w:color w:val="auto"/>
          <w:lang w:val="en-US" w:eastAsia="zh-CN"/>
        </w:rPr>
        <w:t>及农民工工资</w:t>
      </w:r>
      <w:r>
        <w:rPr>
          <w:rFonts w:hint="eastAsia" w:ascii="宋体" w:hAnsi="宋体" w:cs="宋体"/>
          <w:b/>
          <w:color w:val="auto"/>
          <w:lang w:eastAsia="zh-CN"/>
        </w:rPr>
        <w:t>保证金</w:t>
      </w:r>
    </w:p>
    <w:p>
      <w:pPr>
        <w:pStyle w:val="57"/>
        <w:rPr>
          <w:rFonts w:hint="default"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4.2.1履约担保</w:t>
      </w:r>
    </w:p>
    <w:p>
      <w:pPr>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4.2.1</w:t>
      </w:r>
      <w:r>
        <w:rPr>
          <w:rFonts w:hint="eastAsia" w:ascii="宋体" w:hAnsi="宋体" w:cs="宋体"/>
          <w:color w:val="auto"/>
          <w:lang w:val="en-US" w:eastAsia="zh-CN"/>
        </w:rPr>
        <w:t>.1</w:t>
      </w:r>
      <w:r>
        <w:rPr>
          <w:rFonts w:hint="eastAsia" w:ascii="宋体" w:hAnsi="宋体" w:eastAsia="宋体" w:cs="宋体"/>
          <w:color w:val="auto"/>
        </w:rPr>
        <w:t>承包人是否提供履约</w:t>
      </w:r>
      <w:r>
        <w:rPr>
          <w:rFonts w:hint="eastAsia" w:ascii="宋体" w:hAnsi="宋体" w:cs="宋体"/>
          <w:color w:val="auto"/>
          <w:lang w:eastAsia="zh-CN"/>
        </w:rPr>
        <w:t>担保</w:t>
      </w:r>
      <w:r>
        <w:rPr>
          <w:rFonts w:hint="eastAsia" w:ascii="宋体" w:hAnsi="宋体" w:eastAsia="宋体" w:cs="宋体"/>
          <w:color w:val="auto"/>
        </w:rPr>
        <w:t>：</w:t>
      </w:r>
      <w:r>
        <w:rPr>
          <w:rFonts w:hint="eastAsia" w:ascii="宋体" w:hAnsi="宋体" w:cs="宋体"/>
          <w:color w:val="auto"/>
          <w:u w:val="single"/>
          <w:lang w:val="en-US" w:eastAsia="zh-CN"/>
        </w:rPr>
        <w:t xml:space="preserve"> </w:t>
      </w:r>
      <w:r>
        <w:rPr>
          <w:rFonts w:hint="eastAsia" w:ascii="宋体" w:hAnsi="宋体" w:eastAsia="宋体" w:cs="宋体"/>
          <w:b/>
          <w:bCs/>
          <w:color w:val="auto"/>
          <w:u w:val="single"/>
        </w:rPr>
        <w:t>提供</w:t>
      </w:r>
      <w:r>
        <w:rPr>
          <w:rFonts w:hint="eastAsia" w:ascii="宋体" w:hAnsi="宋体" w:eastAsia="宋体" w:cs="宋体"/>
          <w:b/>
          <w:color w:val="auto"/>
          <w:u w:val="single"/>
        </w:rPr>
        <w:t>。</w:t>
      </w:r>
    </w:p>
    <w:p>
      <w:pPr>
        <w:snapToGrid w:val="0"/>
        <w:spacing w:line="400" w:lineRule="exact"/>
        <w:ind w:firstLine="420" w:firstLineChars="200"/>
        <w:rPr>
          <w:rFonts w:hint="eastAsia" w:ascii="宋体" w:hAnsi="宋体"/>
          <w:kern w:val="0"/>
          <w:szCs w:val="21"/>
        </w:rPr>
      </w:pPr>
      <w:r>
        <w:rPr>
          <w:rFonts w:hint="eastAsia" w:ascii="宋体" w:hAnsi="宋体" w:eastAsia="宋体" w:cs="宋体"/>
          <w:color w:val="auto"/>
        </w:rPr>
        <w:t>4.2.</w:t>
      </w:r>
      <w:r>
        <w:rPr>
          <w:rFonts w:hint="eastAsia" w:ascii="宋体" w:hAnsi="宋体" w:cs="宋体"/>
          <w:color w:val="auto"/>
          <w:lang w:val="en-US" w:eastAsia="zh-CN"/>
        </w:rPr>
        <w:t>1.</w:t>
      </w:r>
      <w:r>
        <w:rPr>
          <w:rFonts w:hint="eastAsia" w:ascii="宋体" w:hAnsi="宋体" w:eastAsia="宋体" w:cs="宋体"/>
          <w:color w:val="auto"/>
        </w:rPr>
        <w:t>2承包人</w:t>
      </w:r>
      <w:r>
        <w:rPr>
          <w:rFonts w:hint="eastAsia" w:ascii="宋体" w:hAnsi="宋体"/>
          <w:kern w:val="0"/>
          <w:szCs w:val="21"/>
        </w:rPr>
        <w:t>提供履约担保的形式、金额及期限：</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eastAsia="zh-CN"/>
        </w:rPr>
        <w:t>转账</w:t>
      </w:r>
      <w:r>
        <w:rPr>
          <w:rFonts w:hint="eastAsia" w:ascii="宋体" w:hAnsi="宋体"/>
          <w:kern w:val="0"/>
          <w:szCs w:val="21"/>
        </w:rPr>
        <w:t>；</w:t>
      </w:r>
    </w:p>
    <w:p>
      <w:pPr>
        <w:snapToGrid w:val="0"/>
        <w:spacing w:line="400" w:lineRule="exact"/>
        <w:ind w:firstLine="420" w:firstLineChars="200"/>
        <w:rPr>
          <w:rFonts w:hint="eastAsia" w:ascii="宋体" w:hAnsi="宋体"/>
          <w:kern w:val="0"/>
          <w:szCs w:val="21"/>
          <w:u w:val="single"/>
        </w:rPr>
      </w:pPr>
      <w:r>
        <w:rPr>
          <w:rFonts w:hint="eastAsia" w:ascii="宋体" w:hAnsi="宋体"/>
          <w:kern w:val="0"/>
          <w:szCs w:val="21"/>
        </w:rPr>
        <w:t>（2）履约担保的金额：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ascii="宋体"/>
          <w:kern w:val="0"/>
          <w:szCs w:val="21"/>
          <w:u w:val="single"/>
          <w:lang w:val="en-US" w:eastAsia="zh-CN"/>
        </w:rPr>
        <w:t>8</w:t>
      </w:r>
      <w:r>
        <w:rPr>
          <w:rFonts w:hint="eastAsia" w:ascii="宋体"/>
          <w:kern w:val="0"/>
          <w:szCs w:val="21"/>
          <w:u w:val="single"/>
        </w:rPr>
        <w:t>%，红名单中的中标人履约担保金额减半</w:t>
      </w:r>
      <w:r>
        <w:rPr>
          <w:rFonts w:hint="eastAsia" w:ascii="宋体" w:hAnsi="宋体"/>
          <w:kern w:val="0"/>
          <w:szCs w:val="21"/>
        </w:rPr>
        <w:t>；</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（3）履约担保的提交时间：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s="宋体"/>
          <w:kern w:val="0"/>
          <w:szCs w:val="21"/>
        </w:rPr>
        <w:t>；</w:t>
      </w:r>
    </w:p>
    <w:p>
      <w:pPr>
        <w:spacing w:line="440" w:lineRule="exact"/>
        <w:ind w:firstLine="420" w:firstLineChars="200"/>
        <w:rPr>
          <w:rFonts w:hint="eastAsia" w:ascii="宋体" w:hAnsi="宋体" w:eastAsia="宋体" w:cs="Times New Roman"/>
          <w:b w:val="0"/>
          <w:bCs w:val="0"/>
          <w:color w:val="auto"/>
          <w:kern w:val="2"/>
          <w:sz w:val="21"/>
          <w:szCs w:val="21"/>
          <w:highlight w:val="none"/>
          <w:u w:val="single"/>
          <w:lang w:val="en-US" w:eastAsia="zh-CN" w:bidi="ar-SA"/>
        </w:rPr>
      </w:pPr>
      <w:r>
        <w:rPr>
          <w:rFonts w:hint="eastAsia" w:ascii="宋体" w:hAnsi="宋体"/>
          <w:kern w:val="0"/>
          <w:szCs w:val="21"/>
          <w:lang w:eastAsia="zh-CN"/>
        </w:rPr>
        <w:t>（</w:t>
      </w:r>
      <w:r>
        <w:rPr>
          <w:rFonts w:hint="eastAsia" w:ascii="宋体" w:hAnsi="宋体"/>
          <w:kern w:val="0"/>
          <w:szCs w:val="21"/>
          <w:lang w:val="en-US" w:eastAsia="zh-CN"/>
        </w:rPr>
        <w:t>4</w:t>
      </w:r>
      <w:r>
        <w:rPr>
          <w:rFonts w:hint="eastAsia" w:ascii="宋体" w:hAnsi="宋体"/>
          <w:kern w:val="0"/>
          <w:szCs w:val="21"/>
          <w:lang w:eastAsia="zh-CN"/>
        </w:rPr>
        <w:t>）</w:t>
      </w:r>
      <w:r>
        <w:rPr>
          <w:rFonts w:hint="eastAsia" w:ascii="宋体" w:hAnsi="宋体"/>
          <w:kern w:val="0"/>
          <w:szCs w:val="21"/>
        </w:rPr>
        <w:t>履约担保的退还时间：</w:t>
      </w:r>
      <w:r>
        <w:rPr>
          <w:rFonts w:hint="eastAsia" w:ascii="宋体" w:hAnsi="宋体"/>
          <w:kern w:val="0"/>
          <w:szCs w:val="21"/>
          <w:highlight w:val="none"/>
          <w:u w:val="single"/>
          <w:lang w:eastAsia="zh-CN"/>
        </w:rPr>
        <w:t>工</w:t>
      </w:r>
      <w:r>
        <w:rPr>
          <w:rFonts w:hint="eastAsia" w:ascii="宋体" w:hAnsi="宋体"/>
          <w:i w:val="0"/>
          <w:iCs w:val="0"/>
          <w:kern w:val="0"/>
          <w:szCs w:val="21"/>
          <w:highlight w:val="none"/>
          <w:u w:val="single"/>
          <w:lang w:eastAsia="zh-CN"/>
        </w:rPr>
        <w:t>程</w:t>
      </w:r>
      <w:r>
        <w:rPr>
          <w:rFonts w:hint="default" w:ascii="宋体" w:hAnsi="宋体"/>
          <w:kern w:val="0"/>
          <w:szCs w:val="21"/>
          <w:u w:val="single"/>
          <w:lang w:val="en-US" w:eastAsia="zh-CN"/>
        </w:rPr>
        <w:t>竣工验收合格后一个月内一次性退还</w:t>
      </w:r>
      <w:r>
        <w:rPr>
          <w:rFonts w:hint="eastAsia" w:ascii="宋体" w:hAnsi="宋体" w:cs="宋体"/>
          <w:szCs w:val="21"/>
          <w:lang w:eastAsia="zh-CN"/>
        </w:rPr>
        <w:t>。</w:t>
      </w:r>
    </w:p>
    <w:p>
      <w:pPr>
        <w:pageBreakBefore w:val="0"/>
        <w:kinsoku/>
        <w:wordWrap/>
        <w:overflowPunct/>
        <w:topLinePunct w:val="0"/>
        <w:autoSpaceDE/>
        <w:autoSpaceDN/>
        <w:bidi w:val="0"/>
        <w:adjustRightInd/>
        <w:snapToGrid/>
        <w:spacing w:line="444" w:lineRule="exact"/>
        <w:textAlignment w:val="auto"/>
        <w:rPr>
          <w:rFonts w:ascii="宋体" w:hAnsi="宋体" w:cs="宋体"/>
          <w:b/>
          <w:color w:val="auto"/>
          <w:highlight w:val="none"/>
        </w:rPr>
      </w:pPr>
      <w:r>
        <w:rPr>
          <w:rFonts w:hint="eastAsia" w:ascii="宋体" w:hAnsi="宋体" w:cs="宋体"/>
          <w:b/>
          <w:color w:val="auto"/>
          <w:highlight w:val="none"/>
        </w:rPr>
        <w:t>4.3 分包</w:t>
      </w:r>
    </w:p>
    <w:p>
      <w:pPr>
        <w:pageBreakBefore w:val="0"/>
        <w:kinsoku/>
        <w:wordWrap/>
        <w:overflowPunct/>
        <w:topLinePunct w:val="0"/>
        <w:autoSpaceDE/>
        <w:autoSpaceDN/>
        <w:bidi w:val="0"/>
        <w:adjustRightInd/>
        <w:snapToGrid/>
        <w:spacing w:line="44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4.3.2分包的内容</w:t>
      </w:r>
    </w:p>
    <w:p>
      <w:pPr>
        <w:pageBreakBefore w:val="0"/>
        <w:kinsoku/>
        <w:wordWrap/>
        <w:overflowPunct/>
        <w:topLinePunct w:val="0"/>
        <w:autoSpaceDE/>
        <w:autoSpaceDN/>
        <w:bidi w:val="0"/>
        <w:adjustRightInd/>
        <w:snapToGrid/>
        <w:spacing w:line="44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当事人约定</w:t>
      </w:r>
      <w:r>
        <w:rPr>
          <w:rFonts w:hint="eastAsia" w:ascii="宋体" w:hAnsi="宋体" w:cs="宋体"/>
          <w:color w:val="auto"/>
          <w:szCs w:val="21"/>
          <w:highlight w:val="none"/>
        </w:rPr>
        <w:t>某些非主体、非关键性工作分包给第三人：</w:t>
      </w:r>
      <w:r>
        <w:rPr>
          <w:rFonts w:hint="eastAsia" w:ascii="宋体" w:hAnsi="宋体" w:cs="宋体"/>
          <w:b/>
          <w:color w:val="auto"/>
          <w:szCs w:val="21"/>
          <w:highlight w:val="none"/>
          <w:u w:val="single"/>
        </w:rPr>
        <w:t>本工程</w:t>
      </w:r>
      <w:r>
        <w:rPr>
          <w:rFonts w:hint="eastAsia" w:ascii="宋体" w:hAnsi="宋体" w:cs="宋体"/>
          <w:b/>
          <w:color w:val="auto"/>
          <w:highlight w:val="none"/>
          <w:u w:val="single"/>
        </w:rPr>
        <w:t>不允许转包、除劳务外不得分包。</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bookmarkStart w:id="545" w:name="_Toc26622"/>
      <w:bookmarkStart w:id="546" w:name="_Toc418077881"/>
      <w:bookmarkStart w:id="547" w:name="_Toc13208"/>
      <w:r>
        <w:rPr>
          <w:rFonts w:hint="eastAsia" w:ascii="宋体" w:hAnsi="宋体" w:cs="宋体"/>
          <w:b/>
          <w:color w:val="auto"/>
          <w:highlight w:val="none"/>
        </w:rPr>
        <w:t>4. 5 承包人项目经理</w:t>
      </w:r>
      <w:bookmarkEnd w:id="545"/>
      <w:bookmarkEnd w:id="546"/>
      <w:bookmarkEnd w:id="547"/>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color w:val="auto"/>
          <w:highlight w:val="none"/>
        </w:rPr>
      </w:pPr>
      <w:bookmarkStart w:id="548" w:name="_Toc224103411"/>
      <w:bookmarkStart w:id="549" w:name="_Toc19197"/>
      <w:bookmarkStart w:id="550" w:name="_Toc359579051"/>
      <w:bookmarkStart w:id="551" w:name="_Toc418077882"/>
      <w:bookmarkStart w:id="552" w:name="_Toc5889"/>
      <w:bookmarkStart w:id="553" w:name="_Toc266027434"/>
      <w:bookmarkStart w:id="554" w:name="_Toc327347168"/>
      <w:r>
        <w:rPr>
          <w:rFonts w:hint="eastAsia" w:ascii="宋体" w:hAnsi="宋体" w:cs="宋体"/>
          <w:color w:val="auto"/>
          <w:highlight w:val="none"/>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4.11  不利物质条件</w:t>
      </w:r>
      <w:bookmarkEnd w:id="548"/>
      <w:bookmarkEnd w:id="549"/>
      <w:bookmarkEnd w:id="550"/>
      <w:bookmarkEnd w:id="551"/>
      <w:bookmarkEnd w:id="552"/>
      <w:bookmarkEnd w:id="553"/>
      <w:bookmarkEnd w:id="554"/>
    </w:p>
    <w:p>
      <w:pPr>
        <w:keepNext w:val="0"/>
        <w:keepLines w:val="0"/>
        <w:pageBreakBefore w:val="0"/>
        <w:widowControl w:val="0"/>
        <w:kinsoku/>
        <w:wordWrap/>
        <w:overflowPunct/>
        <w:topLinePunct w:val="0"/>
        <w:autoSpaceDE/>
        <w:autoSpaceDN/>
        <w:bidi w:val="0"/>
        <w:adjustRightInd/>
        <w:snapToGrid/>
        <w:spacing w:line="4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4.11.1 不利物质条件的范围：</w:t>
      </w:r>
      <w:r>
        <w:rPr>
          <w:rFonts w:hint="eastAsia" w:ascii="宋体" w:hAnsi="宋体" w:cs="宋体"/>
          <w:b/>
          <w:color w:val="auto"/>
          <w:highlight w:val="none"/>
          <w:u w:val="single"/>
        </w:rPr>
        <w:t>按通用条款执行。</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5.  材料和工程设备</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5.1  承包人提供的材料和工程设备</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szCs w:val="21"/>
          <w:highlight w:val="none"/>
          <w:u w:val="single"/>
        </w:rPr>
      </w:pPr>
      <w:r>
        <w:rPr>
          <w:rFonts w:hint="eastAsia" w:ascii="宋体" w:hAnsi="宋体" w:cs="宋体"/>
          <w:color w:val="auto"/>
          <w:highlight w:val="none"/>
        </w:rPr>
        <w:t>5.1.1</w:t>
      </w:r>
      <w:r>
        <w:rPr>
          <w:rFonts w:hint="eastAsia" w:ascii="宋体" w:hAnsi="宋体" w:cs="宋体"/>
          <w:b/>
          <w:color w:val="auto"/>
          <w:szCs w:val="21"/>
          <w:highlight w:val="none"/>
          <w:u w:val="single"/>
        </w:rPr>
        <w:t>本工程所需材料、工程设备均由承包人负责采购、运输和保管。</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highlight w:val="none"/>
          <w:u w:val="single"/>
        </w:rPr>
      </w:pPr>
      <w:r>
        <w:rPr>
          <w:rFonts w:hint="eastAsia" w:ascii="宋体" w:hAnsi="宋体" w:cs="宋体"/>
          <w:color w:val="auto"/>
          <w:highlight w:val="none"/>
        </w:rPr>
        <w:t xml:space="preserve">5.1.2 </w:t>
      </w:r>
      <w:r>
        <w:rPr>
          <w:rFonts w:hint="eastAsia" w:ascii="宋体" w:hAnsi="宋体" w:cs="宋体"/>
          <w:b/>
          <w:color w:val="auto"/>
          <w:szCs w:val="21"/>
          <w:highlight w:val="none"/>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highlight w:val="none"/>
          <w:u w:val="single"/>
        </w:rPr>
      </w:pPr>
      <w:r>
        <w:rPr>
          <w:rFonts w:hint="eastAsia" w:ascii="宋体" w:hAnsi="宋体" w:cs="宋体"/>
          <w:color w:val="auto"/>
          <w:highlight w:val="none"/>
        </w:rPr>
        <w:t xml:space="preserve">5.1.3 </w:t>
      </w:r>
      <w:r>
        <w:rPr>
          <w:rFonts w:hint="eastAsia" w:ascii="宋体" w:hAnsi="宋体" w:cs="宋体"/>
          <w:b/>
          <w:color w:val="auto"/>
          <w:szCs w:val="21"/>
          <w:highlight w:val="none"/>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5.2  发包人提供的材料和工程设备</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5.2.1 材料的名称、规格、数量和价格：</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材料的交货方式、地点和日期：</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工程设备的名称、规格、数量和价格：</w:t>
      </w:r>
      <w:r>
        <w:rPr>
          <w:rFonts w:hint="eastAsia" w:ascii="宋体" w:hAnsi="宋体" w:cs="宋体"/>
          <w:b/>
          <w:color w:val="auto"/>
          <w:highlight w:val="none"/>
          <w:u w:val="single"/>
        </w:rPr>
        <w:t>无</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工程设备的交货方式、地点和日期：</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5.2.3材料和工程设备的接收、运输与保管：</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6.  施工设备和临时设施</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6.1  承包人提供的施工设备和临时设施</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6.1.2 承包人承担修建临时设施费用的范围：</w:t>
      </w:r>
      <w:r>
        <w:rPr>
          <w:rFonts w:hint="eastAsia" w:ascii="宋体" w:hAnsi="宋体" w:cs="宋体"/>
          <w:b/>
          <w:color w:val="auto"/>
          <w:highlight w:val="none"/>
          <w:u w:val="single"/>
        </w:rPr>
        <w:t>临时设施均由承包人负责修建，费用承包人承担。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临时占地的申请及费用：</w:t>
      </w:r>
      <w:r>
        <w:rPr>
          <w:rFonts w:hint="eastAsia" w:ascii="宋体" w:hAnsi="宋体" w:cs="宋体"/>
          <w:b/>
          <w:color w:val="auto"/>
          <w:highlight w:val="none"/>
          <w:u w:val="single"/>
        </w:rPr>
        <w:t>由承包人负责申请并承担相应费用</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6.2  发包人提供的施工设备和临时设施：</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  交通运输</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7.1  道路通行权和场外设施</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取得道路通行权、修建场外设施权的办理人：</w:t>
      </w:r>
      <w:r>
        <w:rPr>
          <w:rFonts w:hint="eastAsia" w:ascii="宋体" w:hAnsi="宋体" w:cs="宋体"/>
          <w:b/>
          <w:color w:val="auto"/>
          <w:highlight w:val="none"/>
          <w:u w:val="single"/>
        </w:rPr>
        <w:t>承包人。</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相关费用：</w:t>
      </w:r>
      <w:r>
        <w:rPr>
          <w:rFonts w:hint="eastAsia" w:ascii="宋体" w:hAnsi="宋体" w:cs="宋体"/>
          <w:b/>
          <w:color w:val="auto"/>
          <w:highlight w:val="none"/>
          <w:u w:val="single"/>
        </w:rPr>
        <w:t>由承包人负责，费用由承包人承担。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7.2  场内施工道路</w:t>
      </w:r>
    </w:p>
    <w:p>
      <w:pPr>
        <w:pageBreakBefore w:val="0"/>
        <w:kinsoku/>
        <w:wordWrap/>
        <w:overflowPunct/>
        <w:topLinePunct w:val="0"/>
        <w:autoSpaceDE/>
        <w:autoSpaceDN/>
        <w:bidi w:val="0"/>
        <w:spacing w:line="364" w:lineRule="exact"/>
        <w:ind w:firstLine="420"/>
        <w:textAlignment w:val="auto"/>
        <w:rPr>
          <w:rFonts w:ascii="宋体" w:hAnsi="宋体" w:cs="宋体"/>
          <w:color w:val="auto"/>
          <w:highlight w:val="none"/>
        </w:rPr>
      </w:pPr>
      <w:r>
        <w:rPr>
          <w:rFonts w:hint="eastAsia" w:ascii="宋体" w:hAnsi="宋体" w:cs="宋体"/>
          <w:color w:val="auto"/>
          <w:highlight w:val="none"/>
        </w:rPr>
        <w:t>7.2.1  临时道路和交通设施的修建、维护、养护和管理人：</w:t>
      </w:r>
      <w:r>
        <w:rPr>
          <w:rFonts w:hint="eastAsia" w:ascii="宋体" w:hAnsi="宋体" w:cs="宋体"/>
          <w:b/>
          <w:color w:val="auto"/>
          <w:highlight w:val="none"/>
          <w:u w:val="single"/>
        </w:rPr>
        <w:t>承包人。</w:t>
      </w:r>
    </w:p>
    <w:p>
      <w:pPr>
        <w:pageBreakBefore w:val="0"/>
        <w:kinsoku/>
        <w:wordWrap/>
        <w:overflowPunct/>
        <w:topLinePunct w:val="0"/>
        <w:autoSpaceDE/>
        <w:autoSpaceDN/>
        <w:bidi w:val="0"/>
        <w:spacing w:line="364" w:lineRule="exact"/>
        <w:ind w:firstLine="420"/>
        <w:textAlignment w:val="auto"/>
        <w:rPr>
          <w:rFonts w:ascii="宋体" w:hAnsi="宋体" w:cs="宋体"/>
          <w:color w:val="auto"/>
          <w:highlight w:val="none"/>
        </w:rPr>
      </w:pPr>
      <w:r>
        <w:rPr>
          <w:rFonts w:hint="eastAsia" w:ascii="宋体" w:hAnsi="宋体" w:cs="宋体"/>
          <w:color w:val="auto"/>
          <w:highlight w:val="none"/>
        </w:rPr>
        <w:t>7.2.2  临时道路和交通设施的使用权力及费用：</w:t>
      </w:r>
      <w:r>
        <w:rPr>
          <w:rFonts w:hint="eastAsia" w:ascii="宋体" w:hAnsi="宋体" w:cs="宋体"/>
          <w:b/>
          <w:color w:val="auto"/>
          <w:highlight w:val="none"/>
          <w:u w:val="single"/>
        </w:rPr>
        <w:t>由承包人自行负责。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7.4  超大件和超重件的运输</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道路和桥梁临时加固改造费用和其他有关费用的承担：</w:t>
      </w:r>
      <w:r>
        <w:rPr>
          <w:rFonts w:hint="eastAsia" w:ascii="宋体" w:hAnsi="宋体" w:cs="宋体"/>
          <w:b/>
          <w:color w:val="auto"/>
          <w:highlight w:val="none"/>
          <w:u w:val="single"/>
        </w:rPr>
        <w:t>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8.  测量放线</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8.1  施工控制网</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8.1.1  发包人提供测量基准点、基准线和水准点的期限：</w:t>
      </w:r>
      <w:r>
        <w:rPr>
          <w:rFonts w:hint="eastAsia" w:ascii="宋体" w:hAnsi="宋体" w:cs="宋体"/>
          <w:color w:val="auto"/>
          <w:highlight w:val="none"/>
          <w:u w:val="single"/>
        </w:rPr>
        <w:t xml:space="preserve">  开工前3天   </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施工控制网的测设：</w:t>
      </w:r>
      <w:r>
        <w:rPr>
          <w:rFonts w:hint="eastAsia" w:ascii="宋体" w:hAnsi="宋体" w:cs="宋体"/>
          <w:b/>
          <w:color w:val="auto"/>
          <w:highlight w:val="none"/>
          <w:u w:val="single"/>
        </w:rPr>
        <w:t xml:space="preserve">  由承包人负责   </w:t>
      </w:r>
      <w:r>
        <w:rPr>
          <w:rFonts w:hint="eastAsia" w:ascii="宋体" w:hAnsi="宋体" w:cs="宋体"/>
          <w:color w:val="auto"/>
          <w:highlight w:val="none"/>
        </w:rPr>
        <w:t xml:space="preserve">。 </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报监理人审批施工控制网资料的期限：</w:t>
      </w:r>
      <w:r>
        <w:rPr>
          <w:rFonts w:hint="eastAsia" w:ascii="宋体" w:hAnsi="宋体" w:cs="宋体"/>
          <w:color w:val="auto"/>
          <w:highlight w:val="none"/>
          <w:u w:val="single"/>
        </w:rPr>
        <w:t>开工前3天</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  施工安全、治安保卫和环境保护</w:t>
      </w:r>
    </w:p>
    <w:p>
      <w:pPr>
        <w:keepNext w:val="0"/>
        <w:keepLines w:val="0"/>
        <w:pageBreakBefore w:val="0"/>
        <w:widowControl w:val="0"/>
        <w:kinsoku/>
        <w:wordWrap/>
        <w:overflowPunct/>
        <w:topLinePunct w:val="0"/>
        <w:autoSpaceDE/>
        <w:autoSpaceDN/>
        <w:bidi w:val="0"/>
        <w:spacing w:line="344" w:lineRule="exac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rPr>
        <w:t>9.2  承包人的施工安全责任</w:t>
      </w:r>
      <w:r>
        <w:rPr>
          <w:rFonts w:hint="eastAsia" w:ascii="宋体" w:hAnsi="宋体" w:cs="宋体"/>
          <w:b/>
          <w:color w:val="auto"/>
          <w:highlight w:val="none"/>
          <w:lang w:val="en-US" w:eastAsia="zh-CN"/>
        </w:rPr>
        <w:t>.</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9.2.1报监理人审批的施工安全措施计划期限：</w:t>
      </w:r>
      <w:r>
        <w:rPr>
          <w:rFonts w:hint="eastAsia" w:ascii="宋体" w:hAnsi="宋体" w:cs="宋体"/>
          <w:color w:val="auto"/>
          <w:highlight w:val="none"/>
          <w:u w:val="single"/>
        </w:rPr>
        <w:t>开工前3天</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监理人收到承包人报送的施工安全措施计划后应当在</w:t>
      </w:r>
      <w:r>
        <w:rPr>
          <w:rFonts w:hint="eastAsia" w:ascii="宋体" w:hAnsi="宋体" w:cs="宋体"/>
          <w:color w:val="auto"/>
          <w:highlight w:val="none"/>
          <w:u w:val="single"/>
        </w:rPr>
        <w:t>　</w:t>
      </w:r>
      <w:r>
        <w:rPr>
          <w:rFonts w:hint="eastAsia" w:ascii="宋体" w:hAnsi="宋体" w:cs="宋体"/>
          <w:b/>
          <w:color w:val="auto"/>
          <w:highlight w:val="none"/>
          <w:u w:val="single"/>
        </w:rPr>
        <w:t>3</w:t>
      </w:r>
      <w:r>
        <w:rPr>
          <w:rFonts w:hint="eastAsia" w:ascii="宋体" w:hAnsi="宋体" w:cs="宋体"/>
          <w:color w:val="auto"/>
          <w:highlight w:val="none"/>
        </w:rPr>
        <w:t>天内给予批复。</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9.3  治安保卫</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color w:val="auto"/>
          <w:szCs w:val="21"/>
          <w:highlight w:val="none"/>
        </w:rPr>
      </w:pPr>
      <w:r>
        <w:rPr>
          <w:rFonts w:hint="eastAsia" w:ascii="宋体" w:hAnsi="宋体" w:cs="宋体"/>
          <w:color w:val="auto"/>
          <w:highlight w:val="none"/>
        </w:rPr>
        <w:t>9.3.1  承包人应当负责统一管理施工场地的治安保卫事项，履行合同工程的治安保卫职责</w:t>
      </w:r>
      <w:r>
        <w:rPr>
          <w:rFonts w:hint="eastAsia" w:ascii="宋体" w:hAnsi="宋体" w:cs="宋体"/>
          <w:color w:val="auto"/>
          <w:szCs w:val="21"/>
          <w:highlight w:val="none"/>
        </w:rPr>
        <w:t>，其费用由承担。</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9.3.3  施工场地治安管理计划和突发治安事件紧急预案的编制责任人：</w:t>
      </w:r>
      <w:r>
        <w:rPr>
          <w:rFonts w:hint="eastAsia" w:ascii="宋体" w:hAnsi="宋体" w:cs="宋体"/>
          <w:b/>
          <w:color w:val="auto"/>
          <w:highlight w:val="none"/>
          <w:u w:val="single"/>
        </w:rPr>
        <w:t xml:space="preserve">承包人 </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9.4  环境保护</w:t>
      </w:r>
    </w:p>
    <w:p>
      <w:pPr>
        <w:keepNext w:val="0"/>
        <w:keepLines w:val="0"/>
        <w:pageBreakBefore w:val="0"/>
        <w:widowControl w:val="0"/>
        <w:kinsoku/>
        <w:wordWrap/>
        <w:overflowPunct/>
        <w:topLinePunct w:val="0"/>
        <w:autoSpaceDE/>
        <w:autoSpaceDN/>
        <w:bidi w:val="0"/>
        <w:adjustRightInd w:val="0"/>
        <w:snapToGrid w:val="0"/>
        <w:spacing w:line="344" w:lineRule="exact"/>
        <w:ind w:firstLine="420" w:firstLineChars="200"/>
        <w:textAlignment w:val="auto"/>
        <w:rPr>
          <w:rFonts w:ascii="宋体" w:hAnsi="宋体" w:cs="宋体"/>
          <w:color w:val="auto"/>
          <w:szCs w:val="21"/>
          <w:highlight w:val="none"/>
        </w:rPr>
      </w:pPr>
      <w:r>
        <w:rPr>
          <w:rFonts w:hint="eastAsia" w:ascii="宋体" w:hAnsi="宋体" w:cs="宋体"/>
          <w:color w:val="auto"/>
          <w:highlight w:val="none"/>
        </w:rPr>
        <w:t>9.4.2</w:t>
      </w:r>
      <w:r>
        <w:rPr>
          <w:rFonts w:hint="eastAsia" w:ascii="宋体" w:hAnsi="宋体" w:cs="宋体"/>
          <w:color w:val="auto"/>
          <w:szCs w:val="21"/>
          <w:highlight w:val="none"/>
        </w:rPr>
        <w:t>施工环保措施计划报送监理人审批的时间：</w:t>
      </w:r>
      <w:r>
        <w:rPr>
          <w:rFonts w:hint="eastAsia" w:ascii="宋体" w:hAnsi="宋体" w:cs="宋体"/>
          <w:color w:val="auto"/>
          <w:highlight w:val="none"/>
          <w:u w:val="single"/>
        </w:rPr>
        <w:t>开工前3天</w:t>
      </w:r>
      <w:r>
        <w:rPr>
          <w:rFonts w:hint="eastAsia" w:ascii="宋体" w:hAnsi="宋体" w:cs="宋体"/>
          <w:b/>
          <w:color w:val="auto"/>
          <w:szCs w:val="21"/>
          <w:highlight w:val="none"/>
          <w:u w:val="single"/>
        </w:rPr>
        <w:t>　</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44" w:lineRule="exact"/>
        <w:textAlignment w:val="auto"/>
        <w:rPr>
          <w:rFonts w:ascii="宋体" w:hAnsi="宋体" w:cs="宋体"/>
          <w:color w:val="auto"/>
          <w:szCs w:val="21"/>
          <w:highlight w:val="none"/>
        </w:rPr>
      </w:pPr>
      <w:r>
        <w:rPr>
          <w:rFonts w:hint="eastAsia" w:ascii="宋体" w:hAnsi="宋体" w:cs="宋体"/>
          <w:color w:val="auto"/>
          <w:szCs w:val="21"/>
          <w:highlight w:val="none"/>
        </w:rPr>
        <w:t>　　监理人收到承包人报送的施工环保措施计划后应当在</w:t>
      </w:r>
      <w:r>
        <w:rPr>
          <w:rFonts w:hint="eastAsia" w:ascii="宋体" w:hAnsi="宋体" w:cs="宋体"/>
          <w:b/>
          <w:color w:val="auto"/>
          <w:szCs w:val="21"/>
          <w:highlight w:val="none"/>
          <w:u w:val="single"/>
        </w:rPr>
        <w:t>　3</w:t>
      </w:r>
      <w:r>
        <w:rPr>
          <w:rFonts w:hint="eastAsia" w:ascii="宋体" w:hAnsi="宋体" w:cs="宋体"/>
          <w:color w:val="auto"/>
          <w:szCs w:val="21"/>
          <w:highlight w:val="none"/>
        </w:rPr>
        <w:t>天内给予批复。</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10.  进度计划</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10.1  合同进度计划</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(1)承包人应当在收到监理人按照通用合同条款第11.1.1项发出的开工通知后</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天内，编制详细的施工进度计划和施工方案说明并报送监理人。</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承包人编制施工进度计划和施工方案说明的内容：</w:t>
      </w:r>
      <w:r>
        <w:rPr>
          <w:rFonts w:hint="eastAsia" w:ascii="宋体" w:hAnsi="宋体" w:cs="宋体"/>
          <w:b/>
          <w:color w:val="auto"/>
          <w:szCs w:val="21"/>
          <w:highlight w:val="none"/>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(2)监理人批复或对施工进度计划和施工方案说明提出修改意见的期限：</w:t>
      </w:r>
      <w:r>
        <w:rPr>
          <w:rFonts w:hint="eastAsia" w:ascii="宋体" w:hAnsi="宋体" w:cs="宋体"/>
          <w:b/>
          <w:color w:val="auto"/>
          <w:szCs w:val="21"/>
          <w:highlight w:val="none"/>
          <w:u w:val="single"/>
        </w:rPr>
        <w:t>自监理人收到承包人报送的相关进度计划和施工方案说明后3天内。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  开工和竣工</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11.4  异常恶劣的气候条件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异常恶劣的气候条件的范围：</w:t>
      </w:r>
      <w:r>
        <w:rPr>
          <w:rFonts w:hint="eastAsia" w:ascii="宋体" w:hAnsi="宋体" w:cs="宋体"/>
          <w:b/>
          <w:color w:val="auto"/>
          <w:highlight w:val="none"/>
          <w:u w:val="single"/>
        </w:rPr>
        <w:t>按重庆市气象部门公布的50年一遇的自然灾害（如台风、雪灾、洪水等）。</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11.5  承包人的工期延误</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由于承包人原因造成不能按期竣工的，发包人有权得到按本款约定的下列标准和方法计算的逾期竣工违约金，但最终违约金的金额不能超过本款约定的逾期竣工违约金最高限额。</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逾期竣工违约金的计算方法：</w:t>
      </w:r>
      <w:r>
        <w:rPr>
          <w:rFonts w:hint="eastAsia" w:ascii="宋体" w:hAnsi="宋体" w:cs="宋体"/>
          <w:b/>
          <w:color w:val="auto"/>
          <w:highlight w:val="none"/>
          <w:u w:val="single"/>
        </w:rPr>
        <w:t>按1000元/天记违约金</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逾期竣工违约金的最高限额：</w:t>
      </w:r>
      <w:r>
        <w:rPr>
          <w:rFonts w:hint="eastAsia" w:ascii="宋体" w:hAnsi="宋体" w:cs="宋体"/>
          <w:b/>
          <w:color w:val="auto"/>
          <w:highlight w:val="none"/>
          <w:u w:val="single"/>
        </w:rPr>
        <w:t>签约合同价的3%</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11.6  工期提前</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提前竣工的奖励办法：</w:t>
      </w:r>
      <w:r>
        <w:rPr>
          <w:rFonts w:hint="eastAsia" w:ascii="宋体" w:hAnsi="宋体" w:cs="宋体"/>
          <w:b/>
          <w:color w:val="auto"/>
          <w:highlight w:val="none"/>
          <w:u w:val="single"/>
        </w:rPr>
        <w:t xml:space="preserve">  无  </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12．暂停施工</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12.1 承包人暂停施工的责任：</w:t>
      </w:r>
      <w:r>
        <w:rPr>
          <w:rFonts w:hint="eastAsia" w:ascii="宋体" w:hAnsi="宋体" w:cs="宋体"/>
          <w:b/>
          <w:color w:val="auto"/>
          <w:highlight w:val="none"/>
          <w:u w:val="single"/>
        </w:rPr>
        <w:t xml:space="preserve"> 非发包人的原因由承包人负责。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13．工程质量</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13.2 承包人的质量检查</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szCs w:val="21"/>
          <w:highlight w:val="none"/>
        </w:rPr>
        <w:t>承包人提交工程质量保证措施文件的期限：</w:t>
      </w:r>
      <w:r>
        <w:rPr>
          <w:rFonts w:hint="eastAsia" w:ascii="宋体" w:hAnsi="宋体" w:cs="宋体"/>
          <w:b/>
          <w:color w:val="auto"/>
          <w:highlight w:val="none"/>
          <w:u w:val="single"/>
        </w:rPr>
        <w:t xml:space="preserve"> 开工前3天</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11" w:firstLineChars="196"/>
        <w:textAlignment w:val="auto"/>
        <w:rPr>
          <w:rFonts w:ascii="宋体" w:hAnsi="宋体" w:cs="宋体"/>
          <w:bCs/>
          <w:color w:val="auto"/>
          <w:highlight w:val="none"/>
        </w:rPr>
      </w:pPr>
      <w:r>
        <w:rPr>
          <w:rFonts w:hint="eastAsia" w:ascii="宋体" w:hAnsi="宋体" w:cs="宋体"/>
          <w:bCs/>
          <w:color w:val="auto"/>
          <w:highlight w:val="none"/>
        </w:rPr>
        <w:t>监理人收到承包人报送的施工环保措施计划后应当在</w:t>
      </w:r>
      <w:r>
        <w:rPr>
          <w:rFonts w:hint="eastAsia" w:ascii="宋体" w:hAnsi="宋体" w:cs="宋体"/>
          <w:bCs/>
          <w:color w:val="auto"/>
          <w:highlight w:val="none"/>
          <w:u w:val="single"/>
        </w:rPr>
        <w:t xml:space="preserve"> 3 </w:t>
      </w:r>
      <w:r>
        <w:rPr>
          <w:rFonts w:hint="eastAsia" w:ascii="宋体" w:hAnsi="宋体" w:cs="宋体"/>
          <w:bCs/>
          <w:color w:val="auto"/>
          <w:highlight w:val="none"/>
        </w:rPr>
        <w:t>天内给予批复。</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13.5 工程隐蔽部位覆盖前的检查</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13.5.1监理人对工程隐蔽部位进行检查的期限：</w:t>
      </w:r>
      <w:r>
        <w:rPr>
          <w:rFonts w:hint="eastAsia" w:ascii="宋体" w:hAnsi="宋体" w:cs="宋体"/>
          <w:b/>
          <w:color w:val="auto"/>
          <w:szCs w:val="21"/>
          <w:highlight w:val="none"/>
          <w:u w:val="single"/>
        </w:rPr>
        <w:t>工程部位隐蔽前24小时以书面形式通知发包人和监理人验收。</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  变更</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所有工程变更等现场签证的确定只有经发包人审批同意后才能生效。</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15.1 变更的范围和内容：</w:t>
      </w:r>
      <w:r>
        <w:rPr>
          <w:rFonts w:hint="eastAsia" w:ascii="宋体" w:hAnsi="宋体" w:cs="宋体"/>
          <w:b/>
          <w:color w:val="auto"/>
          <w:highlight w:val="none"/>
          <w:u w:val="single"/>
        </w:rPr>
        <w:t>变更的范围和内容以发包人认可为准</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15.3  变更程序</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15.3.2  变更估价</w:t>
      </w:r>
    </w:p>
    <w:p>
      <w:pPr>
        <w:pageBreakBefore w:val="0"/>
        <w:kinsoku/>
        <w:wordWrap/>
        <w:overflowPunct/>
        <w:topLinePunct w:val="0"/>
        <w:autoSpaceDE/>
        <w:autoSpaceDN/>
        <w:bidi w:val="0"/>
        <w:adjustRightInd w:val="0"/>
        <w:snapToGrid w:val="0"/>
        <w:spacing w:line="364" w:lineRule="exact"/>
        <w:ind w:firstLine="462" w:firstLineChars="220"/>
        <w:textAlignment w:val="auto"/>
        <w:rPr>
          <w:rFonts w:ascii="宋体" w:hAnsi="宋体" w:cs="宋体"/>
          <w:color w:val="auto"/>
          <w:szCs w:val="21"/>
          <w:highlight w:val="none"/>
        </w:rPr>
      </w:pPr>
      <w:r>
        <w:rPr>
          <w:rFonts w:hint="eastAsia" w:ascii="宋体" w:hAnsi="宋体" w:cs="宋体"/>
          <w:color w:val="auto"/>
          <w:szCs w:val="21"/>
          <w:highlight w:val="none"/>
        </w:rPr>
        <w:t>承包人提交变更报价书的期限：</w:t>
      </w:r>
      <w:r>
        <w:rPr>
          <w:rFonts w:hint="eastAsia" w:ascii="宋体" w:hAnsi="宋体" w:cs="宋体"/>
          <w:color w:val="auto"/>
          <w:szCs w:val="21"/>
          <w:highlight w:val="none"/>
          <w:u w:val="single"/>
        </w:rPr>
        <w:t>承包人应在收到变更指示或变更意向书后的 3天内，向监理人提交变更报价书</w:t>
      </w:r>
      <w:r>
        <w:rPr>
          <w:rFonts w:hint="eastAsia" w:ascii="宋体" w:hAnsi="宋体" w:cs="宋体"/>
          <w:color w:val="auto"/>
          <w:szCs w:val="21"/>
          <w:highlight w:val="none"/>
        </w:rPr>
        <w:t>。</w:t>
      </w:r>
    </w:p>
    <w:p>
      <w:pPr>
        <w:pageBreakBefore w:val="0"/>
        <w:kinsoku/>
        <w:wordWrap/>
        <w:overflowPunct/>
        <w:topLinePunct w:val="0"/>
        <w:autoSpaceDE/>
        <w:autoSpaceDN/>
        <w:bidi w:val="0"/>
        <w:adjustRightInd w:val="0"/>
        <w:snapToGrid w:val="0"/>
        <w:spacing w:line="364" w:lineRule="exact"/>
        <w:ind w:firstLine="462" w:firstLineChars="220"/>
        <w:textAlignment w:val="auto"/>
        <w:rPr>
          <w:rFonts w:ascii="宋体" w:hAnsi="宋体" w:cs="宋体"/>
          <w:color w:val="auto"/>
          <w:szCs w:val="21"/>
          <w:highlight w:val="none"/>
          <w:u w:val="single"/>
        </w:rPr>
      </w:pPr>
      <w:r>
        <w:rPr>
          <w:rFonts w:hint="eastAsia" w:ascii="宋体" w:hAnsi="宋体" w:cs="宋体"/>
          <w:color w:val="auto"/>
          <w:szCs w:val="21"/>
          <w:highlight w:val="none"/>
        </w:rPr>
        <w:t>监理人商定或确定变更价格的期限：</w:t>
      </w:r>
      <w:r>
        <w:rPr>
          <w:rFonts w:hint="eastAsia" w:ascii="宋体" w:hAnsi="宋体" w:cs="宋体"/>
          <w:color w:val="auto"/>
          <w:szCs w:val="21"/>
          <w:highlight w:val="none"/>
          <w:u w:val="single"/>
        </w:rPr>
        <w:t xml:space="preserve">7天  </w:t>
      </w:r>
      <w:r>
        <w:rPr>
          <w:rFonts w:hint="eastAsia" w:ascii="宋体" w:hAnsi="宋体" w:cs="宋体"/>
          <w:color w:val="auto"/>
          <w:szCs w:val="21"/>
          <w:highlight w:val="none"/>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szCs w:val="21"/>
          <w:highlight w:val="none"/>
          <w:u w:val="single"/>
        </w:rPr>
      </w:pPr>
      <w:r>
        <w:rPr>
          <w:rFonts w:hint="eastAsia" w:ascii="宋体" w:hAnsi="宋体" w:cs="宋体"/>
          <w:b/>
          <w:color w:val="auto"/>
          <w:highlight w:val="none"/>
        </w:rPr>
        <w:t>15.4变更的估价原则</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bookmarkStart w:id="555" w:name="_Hlk524296629"/>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 变更估价原则</w:t>
      </w:r>
    </w:p>
    <w:p>
      <w:pPr>
        <w:pStyle w:val="2"/>
        <w:pageBreakBefore w:val="0"/>
        <w:kinsoku/>
        <w:wordWrap/>
        <w:overflowPunct/>
        <w:topLinePunct w:val="0"/>
        <w:autoSpaceDE/>
        <w:autoSpaceDN/>
        <w:bidi w:val="0"/>
        <w:spacing w:after="0"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比选文件</w:t>
      </w:r>
      <w:r>
        <w:rPr>
          <w:rFonts w:hint="eastAsia" w:ascii="宋体" w:hAnsi="宋体"/>
          <w:color w:val="auto"/>
          <w:szCs w:val="21"/>
          <w:highlight w:val="none"/>
          <w:u w:val="single"/>
        </w:rPr>
        <w:t xml:space="preserve"> </w:t>
      </w:r>
      <w:r>
        <w:rPr>
          <w:rFonts w:hint="eastAsia" w:ascii="宋体" w:hAnsi="宋体"/>
          <w:color w:val="auto"/>
          <w:szCs w:val="21"/>
          <w:highlight w:val="none"/>
        </w:rPr>
        <w:t>规定的计算规则及已标价工程量清单规定的工程量计算规则计量，按以下办法计价：</w:t>
      </w:r>
      <w:bookmarkStart w:id="556" w:name="_Hlk524770102"/>
    </w:p>
    <w:bookmarkEnd w:id="556"/>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.4.1.1已标价工程量清单中有相同项目的，按照相同项目单价计算；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.4.1.2已标价工程量清单中有类似项目的，参考类似项目单价计算；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.4.1.3已标价工程量清单中无相同项目亦无类似项目的，按照以下原则执行：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建设工程工程量清单计价规范》(GB50500-2013)、《重庆市建设工程工程量清单计价规则》(CQJJGZ-2013)、《重庆市建设工程工程量计算规则》（CQJLGZ-2013）、《房屋建筑与装饰工程工程量计算规范》（GB50854-2013）、渝建〔2018〕200号文颁发的《重庆市绿色建筑工程计价定额》(CQLSJZDE-2018)、《重庆市园林绿化工程计价定额》(CQYLLHDE-2018)、《重庆市建设工程费用定额》（CQFYDE-2018）及相关配套文件，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2019〕143号）计算后，</w:t>
      </w:r>
      <w:r>
        <w:rPr>
          <w:rFonts w:hint="eastAsia" w:ascii="宋体" w:hAnsi="宋体"/>
          <w:color w:val="auto"/>
          <w:szCs w:val="21"/>
          <w:highlight w:val="none"/>
        </w:rPr>
        <w:t>按承包人报价浮动率下浮（认质核价的设备和材料不参与浮动），经监理人、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、发包人审定后执行。承包人报价浮动率按下列公式计算：承包人报价浮动率=（1-中标价/最高限价）×100%。</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bookmarkStart w:id="557" w:name="_Hlk529023896"/>
      <w:r>
        <w:rPr>
          <w:rFonts w:hint="eastAsia" w:ascii="宋体" w:hAnsi="宋体"/>
          <w:color w:val="auto"/>
          <w:szCs w:val="21"/>
          <w:highlight w:val="none"/>
        </w:rPr>
        <w:t>（2）材料单价：</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①按</w:t>
      </w:r>
      <w:bookmarkStart w:id="558" w:name="_Hlk529023354"/>
      <w:r>
        <w:rPr>
          <w:rFonts w:hint="eastAsia" w:ascii="宋体" w:hAnsi="宋体"/>
          <w:color w:val="auto"/>
          <w:szCs w:val="21"/>
          <w:highlight w:val="none"/>
        </w:rPr>
        <w:t>开标当期《重庆工程造价信息》发布的项目所在地的信息价</w:t>
      </w:r>
      <w:bookmarkEnd w:id="558"/>
      <w:r>
        <w:rPr>
          <w:rFonts w:hint="eastAsia" w:ascii="宋体" w:hAnsi="宋体"/>
          <w:color w:val="auto"/>
          <w:szCs w:val="21"/>
          <w:highlight w:val="none"/>
        </w:rPr>
        <w:t>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、发包人根据市场行情认质核价确定。</w:t>
      </w:r>
    </w:p>
    <w:bookmarkEnd w:id="557"/>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.4.1.4已标价工程量清单中无相同项目亦无类似项目，也无定额可套用的，由承包人会同监理人、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按相关原则、编制方法编制补充定额（人工、材料、机械基价执行2018年计价定额的基价，2018年计价定额没有的基价，按市场价计），按照第10.4.1项〔变更估价原则〕（3）目约定执行；或参照重庆市场相同工作的市场价格上报监理人，最终价格按承包人、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、发包人共同询价确认的价格执行。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本款补充1</w:t>
      </w:r>
      <w:r>
        <w:rPr>
          <w:rFonts w:hint="eastAsia" w:ascii="宋体" w:hAnsi="宋体"/>
          <w:color w:val="auto"/>
          <w:szCs w:val="21"/>
          <w:highlight w:val="none"/>
          <w:lang w:val="en-US" w:eastAsia="zh-CN"/>
        </w:rPr>
        <w:t>5</w:t>
      </w:r>
      <w:r>
        <w:rPr>
          <w:rFonts w:hint="eastAsia" w:ascii="宋体" w:hAnsi="宋体"/>
          <w:color w:val="auto"/>
          <w:szCs w:val="21"/>
          <w:highlight w:val="none"/>
        </w:rPr>
        <w:t>.4.3项：</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（1）安全文明施工费应按照实际发生变化的措施项目依据现行安全文明施工费计取及管理政策规定及《重庆市建设工程费用定额》（CQFYDE-2018）规定执行；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（2）按照单价计算的措施项目费，应按照实际发生变化的措施项目，按照第1</w:t>
      </w:r>
      <w:r>
        <w:rPr>
          <w:rFonts w:hint="eastAsia" w:ascii="宋体" w:hAnsi="宋体"/>
          <w:color w:val="auto"/>
          <w:szCs w:val="21"/>
          <w:highlight w:val="none"/>
          <w:lang w:val="en-US" w:eastAsia="zh-CN"/>
        </w:rPr>
        <w:t>5</w:t>
      </w:r>
      <w:r>
        <w:rPr>
          <w:rFonts w:hint="eastAsia" w:ascii="宋体" w:hAnsi="宋体"/>
          <w:color w:val="auto"/>
          <w:szCs w:val="21"/>
          <w:highlight w:val="none"/>
        </w:rPr>
        <w:t>.4.1项〔变更估价原则〕约定执行；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（3）按总价（或系数）计算的措施项目费，应按照实际发生变化的措施项目费按承包人报价浮动率下浮后的金额计算；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（4）如果承包人未事前将拟实施的方案提交给发包人确认，则应视为工程变更不引起措施项目费的调整或承包人放弃调整措施项目费的权利。</w:t>
      </w:r>
    </w:p>
    <w:bookmarkEnd w:id="555"/>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15.5  承包人的合理化建议</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u w:val="single"/>
        </w:rPr>
      </w:pPr>
      <w:r>
        <w:rPr>
          <w:rFonts w:hint="eastAsia" w:ascii="宋体" w:hAnsi="宋体" w:cs="宋体"/>
          <w:color w:val="auto"/>
          <w:highlight w:val="none"/>
        </w:rPr>
        <w:t>对承包人提出合理化建议的奖励方法：</w:t>
      </w:r>
      <w:r>
        <w:rPr>
          <w:rFonts w:hint="eastAsia" w:ascii="宋体" w:hAnsi="宋体" w:cs="宋体"/>
          <w:b/>
          <w:color w:val="auto"/>
          <w:highlight w:val="none"/>
          <w:u w:val="single"/>
        </w:rPr>
        <w:t>无。</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Cs/>
          <w:color w:val="auto"/>
          <w:highlight w:val="none"/>
          <w:u w:val="single"/>
        </w:rPr>
      </w:pPr>
      <w:r>
        <w:rPr>
          <w:rFonts w:hint="eastAsia" w:ascii="宋体" w:hAnsi="宋体" w:cs="宋体"/>
          <w:color w:val="auto"/>
          <w:highlight w:val="none"/>
        </w:rPr>
        <w:t>15.6暂列金额</w:t>
      </w:r>
      <w:r>
        <w:rPr>
          <w:rFonts w:hint="eastAsia" w:ascii="宋体" w:hAnsi="宋体" w:cs="宋体"/>
          <w:b/>
          <w:color w:val="auto"/>
          <w:highlight w:val="none"/>
        </w:rPr>
        <w:t>：</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none"/>
        </w:rPr>
        <w:t>元。</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bCs/>
          <w:color w:val="auto"/>
          <w:highlight w:val="none"/>
        </w:rPr>
        <w:t>15.8暂估价：</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none"/>
        </w:rPr>
        <w:t xml:space="preserve">元。 </w:t>
      </w:r>
      <w:bookmarkStart w:id="559" w:name="_Toc224103443"/>
      <w:bookmarkStart w:id="560" w:name="_Toc418077916"/>
      <w:bookmarkStart w:id="561" w:name="_Toc30841"/>
      <w:bookmarkStart w:id="562" w:name="_Toc359579086"/>
      <w:bookmarkStart w:id="563" w:name="_Toc327347204"/>
      <w:bookmarkStart w:id="564" w:name="_Toc266027467"/>
      <w:bookmarkStart w:id="565" w:name="_Toc14052"/>
    </w:p>
    <w:p>
      <w:pPr>
        <w:pageBreakBefore w:val="0"/>
        <w:kinsoku/>
        <w:wordWrap/>
        <w:overflowPunct/>
        <w:topLinePunct w:val="0"/>
        <w:autoSpaceDE/>
        <w:autoSpaceDN/>
        <w:bidi w:val="0"/>
        <w:adjustRightInd w:val="0"/>
        <w:snapToGrid w:val="0"/>
        <w:spacing w:line="364" w:lineRule="exact"/>
        <w:textAlignment w:val="auto"/>
        <w:rPr>
          <w:rFonts w:hint="eastAsia" w:ascii="宋体" w:hAnsi="宋体" w:eastAsia="宋体" w:cs="宋体"/>
          <w:b/>
          <w:color w:val="auto"/>
          <w:highlight w:val="none"/>
          <w:lang w:eastAsia="zh-CN"/>
        </w:rPr>
      </w:pPr>
      <w:r>
        <w:rPr>
          <w:rFonts w:hint="eastAsia" w:ascii="宋体" w:hAnsi="宋体" w:cs="宋体"/>
          <w:b/>
          <w:color w:val="auto"/>
          <w:highlight w:val="none"/>
        </w:rPr>
        <w:t>16.  价格调整</w:t>
      </w:r>
      <w:bookmarkEnd w:id="559"/>
      <w:bookmarkEnd w:id="560"/>
      <w:bookmarkEnd w:id="561"/>
      <w:bookmarkEnd w:id="562"/>
      <w:bookmarkEnd w:id="563"/>
      <w:bookmarkEnd w:id="564"/>
      <w:bookmarkEnd w:id="565"/>
      <w:bookmarkStart w:id="566" w:name="_Toc359579087"/>
      <w:bookmarkStart w:id="567" w:name="_Toc224103444"/>
      <w:bookmarkStart w:id="568" w:name="_Toc8602"/>
      <w:bookmarkStart w:id="569" w:name="_Toc24307"/>
      <w:bookmarkStart w:id="570" w:name="_Toc418077917"/>
      <w:bookmarkStart w:id="571" w:name="_Toc266027468"/>
      <w:bookmarkStart w:id="572" w:name="_Toc327347205"/>
      <w:r>
        <w:rPr>
          <w:rFonts w:hint="eastAsia" w:ascii="宋体" w:hAnsi="宋体" w:cs="宋体"/>
          <w:b/>
          <w:color w:val="auto"/>
          <w:highlight w:val="none"/>
          <w:lang w:eastAsia="zh-CN"/>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16.1  物价波动引起的价格调整</w:t>
      </w:r>
      <w:bookmarkEnd w:id="566"/>
      <w:bookmarkEnd w:id="567"/>
      <w:bookmarkEnd w:id="568"/>
      <w:bookmarkEnd w:id="569"/>
      <w:bookmarkEnd w:id="570"/>
      <w:bookmarkEnd w:id="571"/>
      <w:bookmarkEnd w:id="572"/>
    </w:p>
    <w:p>
      <w:pPr>
        <w:pageBreakBefore w:val="0"/>
        <w:kinsoku/>
        <w:wordWrap/>
        <w:overflowPunct/>
        <w:topLinePunct w:val="0"/>
        <w:autoSpaceDE/>
        <w:autoSpaceDN/>
        <w:bidi w:val="0"/>
        <w:adjustRightInd w:val="0"/>
        <w:snapToGrid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物价波动引起的价格调整方法：</w:t>
      </w:r>
      <w:r>
        <w:rPr>
          <w:rFonts w:hint="eastAsia" w:ascii="宋体" w:hAnsi="宋体" w:cs="宋体"/>
          <w:b/>
          <w:color w:val="auto"/>
          <w:highlight w:val="none"/>
          <w:u w:val="single"/>
        </w:rPr>
        <w:t xml:space="preserve">  不调整  </w:t>
      </w:r>
      <w:r>
        <w:rPr>
          <w:rFonts w:hint="eastAsia" w:ascii="宋体" w:hAnsi="宋体" w:cs="宋体"/>
          <w:b/>
          <w:color w:val="auto"/>
          <w:highlight w:val="none"/>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17.2 预付款</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color w:val="auto"/>
          <w:highlight w:val="none"/>
        </w:rPr>
        <w:t>17.2.1 预付款</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u w:val="single"/>
        </w:rPr>
      </w:pPr>
      <w:r>
        <w:rPr>
          <w:rFonts w:hint="eastAsia" w:ascii="宋体" w:hAnsi="宋体" w:cs="宋体"/>
          <w:color w:val="auto"/>
          <w:highlight w:val="none"/>
        </w:rPr>
        <w:t xml:space="preserve">    预付款额度和预付方法：</w:t>
      </w:r>
      <w:r>
        <w:rPr>
          <w:rFonts w:hint="eastAsia" w:ascii="宋体" w:hAnsi="宋体" w:cs="宋体"/>
          <w:b/>
          <w:color w:val="auto"/>
          <w:highlight w:val="none"/>
          <w:u w:val="single"/>
        </w:rPr>
        <w:t xml:space="preserve">  无。</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color w:val="auto"/>
          <w:highlight w:val="none"/>
        </w:rPr>
        <w:t>17.2.2 预付款保函</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color w:val="auto"/>
          <w:highlight w:val="none"/>
        </w:rPr>
        <w:t xml:space="preserve">    预付款保函的提交时间：</w:t>
      </w:r>
      <w:r>
        <w:rPr>
          <w:rFonts w:hint="eastAsia" w:ascii="宋体" w:hAnsi="宋体" w:cs="宋体"/>
          <w:b/>
          <w:color w:val="auto"/>
          <w:highlight w:val="none"/>
          <w:u w:val="single"/>
        </w:rPr>
        <w:t xml:space="preserve">  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17.2.3 预付款的扣回与还清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预付款的扣回办法：</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17.3  工程进度付款</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17.3.3进度付款证书和支付时间：</w:t>
      </w:r>
    </w:p>
    <w:p>
      <w:pPr>
        <w:pageBreakBefore w:val="0"/>
        <w:kinsoku/>
        <w:wordWrap/>
        <w:overflowPunct/>
        <w:topLinePunct w:val="0"/>
        <w:autoSpaceDE/>
        <w:autoSpaceDN/>
        <w:bidi w:val="0"/>
        <w:spacing w:line="364"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color w:val="auto"/>
          <w:highlight w:val="none"/>
          <w:lang w:eastAsia="zh-CN"/>
        </w:rPr>
        <w:t>竣工验收合格（并完成送审）后</w:t>
      </w:r>
      <w:r>
        <w:rPr>
          <w:rFonts w:hint="eastAsia" w:ascii="宋体" w:hAnsi="宋体" w:cs="宋体"/>
          <w:b/>
          <w:color w:val="auto"/>
          <w:highlight w:val="none"/>
          <w:lang w:val="en-US" w:eastAsia="zh-CN"/>
        </w:rPr>
        <w:t>180日历天内付至合同价款的70%，结算审核完成后一年内付至审定金额的97%（其中结算审核总价款的3%留作质保金）</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 xml:space="preserve">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17.4  质量保证金</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17.4.1 质量保证金的金额或比例：</w:t>
      </w:r>
      <w:r>
        <w:rPr>
          <w:rFonts w:hint="eastAsia" w:ascii="宋体" w:hAnsi="宋体" w:cs="宋体"/>
          <w:b/>
          <w:color w:val="auto"/>
          <w:highlight w:val="none"/>
          <w:u w:val="single"/>
        </w:rPr>
        <w:t>工程结算审定金额的</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 xml:space="preserve">17.5  竣工结算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17.5.1  竣工付款申请单</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竣工付款申请单的份数和提交期限：</w:t>
      </w:r>
      <w:r>
        <w:rPr>
          <w:rFonts w:hint="eastAsia" w:ascii="宋体" w:hAnsi="宋体" w:cs="宋体"/>
          <w:b/>
          <w:color w:val="auto"/>
          <w:highlight w:val="none"/>
          <w:u w:val="single"/>
        </w:rPr>
        <w:t>按发包人要求办理。</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竣工付款申请单的内容：</w:t>
      </w:r>
      <w:r>
        <w:rPr>
          <w:rFonts w:hint="eastAsia" w:ascii="宋体" w:hAnsi="宋体" w:cs="宋体"/>
          <w:b/>
          <w:color w:val="auto"/>
          <w:highlight w:val="none"/>
          <w:u w:val="single"/>
        </w:rPr>
        <w:t xml:space="preserve">按发包人要求办理。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17.5.3</w:t>
      </w:r>
      <w:r>
        <w:rPr>
          <w:rFonts w:hint="eastAsia" w:ascii="宋体" w:hAnsi="宋体" w:cs="宋体"/>
          <w:b/>
          <w:color w:val="auto"/>
          <w:highlight w:val="none"/>
          <w:lang w:val="en-US" w:eastAsia="zh-CN"/>
        </w:rPr>
        <w:t xml:space="preserve"> </w:t>
      </w:r>
      <w:r>
        <w:rPr>
          <w:rFonts w:hint="eastAsia" w:ascii="宋体" w:hAnsi="宋体" w:cs="宋体"/>
          <w:b/>
          <w:color w:val="auto"/>
          <w:highlight w:val="none"/>
        </w:rPr>
        <w:t xml:space="preserve"> 竣工结算原则：</w:t>
      </w:r>
    </w:p>
    <w:p>
      <w:pPr>
        <w:pageBreakBefore w:val="0"/>
        <w:kinsoku/>
        <w:wordWrap/>
        <w:overflowPunct/>
        <w:topLinePunct w:val="0"/>
        <w:autoSpaceDE/>
        <w:autoSpaceDN/>
        <w:bidi w:val="0"/>
        <w:spacing w:line="364" w:lineRule="exact"/>
        <w:ind w:firstLine="411" w:firstLineChars="196"/>
        <w:textAlignment w:val="auto"/>
        <w:rPr>
          <w:rFonts w:hint="eastAsia" w:eastAsia="宋体"/>
          <w:b/>
          <w:color w:val="auto"/>
          <w:highlight w:val="none"/>
          <w:lang w:val="en-US" w:eastAsia="zh-CN"/>
        </w:rPr>
      </w:pPr>
      <w:bookmarkStart w:id="573" w:name="_Toc18141"/>
      <w:bookmarkStart w:id="574" w:name="_Toc327347214"/>
      <w:bookmarkStart w:id="575" w:name="_Toc24412"/>
      <w:bookmarkStart w:id="576" w:name="_Toc224103452"/>
      <w:bookmarkStart w:id="577" w:name="_Toc418077924"/>
      <w:bookmarkStart w:id="578" w:name="_Toc359579095"/>
      <w:bookmarkStart w:id="579" w:name="_Toc266027476"/>
      <w:r>
        <w:rPr>
          <w:rFonts w:hint="eastAsia" w:ascii="宋体" w:hAnsi="宋体" w:cs="宋体"/>
          <w:color w:val="auto"/>
          <w:highlight w:val="none"/>
        </w:rPr>
        <w:t>1.结算价=</w:t>
      </w:r>
      <w:r>
        <w:rPr>
          <w:rFonts w:hint="eastAsia" w:ascii="宋体" w:hAnsi="宋体" w:cs="宋体"/>
          <w:color w:val="auto"/>
          <w:highlight w:val="none"/>
          <w:lang w:eastAsia="zh-CN"/>
        </w:rPr>
        <w:t>实际完成的合格工程量×相应工程量清单综合中标单价</w:t>
      </w:r>
      <w:r>
        <w:rPr>
          <w:rFonts w:hint="eastAsia" w:ascii="宋体" w:hAnsi="宋体" w:cs="宋体"/>
          <w:color w:val="auto"/>
          <w:highlight w:val="none"/>
        </w:rPr>
        <w:t>±</w:t>
      </w:r>
      <w:r>
        <w:rPr>
          <w:rFonts w:hint="eastAsia" w:ascii="宋体" w:hAnsi="宋体" w:cs="宋体"/>
          <w:color w:val="auto"/>
          <w:szCs w:val="21"/>
          <w:highlight w:val="none"/>
        </w:rPr>
        <w:t>经发包人确认的应计</w:t>
      </w:r>
      <w:r>
        <w:rPr>
          <w:rFonts w:hint="eastAsia" w:ascii="宋体" w:hAnsi="宋体" w:cs="宋体"/>
          <w:color w:val="auto"/>
          <w:highlight w:val="none"/>
        </w:rPr>
        <w:t>增减（变更）工程造价±合同约定的其它费用，</w:t>
      </w:r>
      <w:r>
        <w:rPr>
          <w:rFonts w:hint="eastAsia" w:ascii="宋体" w:hAnsi="宋体" w:eastAsia="宋体" w:cs="宋体"/>
          <w:color w:val="auto"/>
          <w:highlight w:val="none"/>
          <w:lang w:eastAsia="zh-CN"/>
        </w:rPr>
        <w:t>最终结算</w:t>
      </w:r>
      <w:r>
        <w:rPr>
          <w:rFonts w:hint="eastAsia" w:ascii="宋体" w:hAnsi="宋体" w:cs="宋体"/>
          <w:color w:val="auto"/>
          <w:highlight w:val="none"/>
          <w:lang w:eastAsia="zh-CN"/>
        </w:rPr>
        <w:t>金额</w:t>
      </w:r>
      <w:r>
        <w:rPr>
          <w:rFonts w:hint="eastAsia" w:ascii="宋体" w:hAnsi="宋体" w:eastAsia="宋体" w:cs="宋体"/>
          <w:color w:val="auto"/>
          <w:highlight w:val="none"/>
          <w:lang w:eastAsia="zh-CN"/>
        </w:rPr>
        <w:t>由</w:t>
      </w:r>
      <w:r>
        <w:rPr>
          <w:rFonts w:hint="eastAsia" w:ascii="宋体" w:hAnsi="宋体" w:cs="宋体"/>
          <w:color w:val="auto"/>
          <w:highlight w:val="none"/>
          <w:lang w:eastAsia="zh-CN"/>
        </w:rPr>
        <w:t>发包人</w:t>
      </w:r>
      <w:r>
        <w:rPr>
          <w:rFonts w:hint="eastAsia" w:ascii="宋体" w:hAnsi="宋体" w:eastAsia="宋体" w:cs="宋体"/>
          <w:color w:val="auto"/>
          <w:highlight w:val="none"/>
          <w:lang w:eastAsia="zh-CN"/>
        </w:rPr>
        <w:t>委托的审计机构审定的金额为准</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本工程工程量、结算金额必须经招标人、监理单位和承包人三方现场签证认可。增加工程量必须事先征得招标人同意并履行相关手续</w:t>
      </w:r>
      <w:r>
        <w:rPr>
          <w:rFonts w:hint="eastAsia" w:ascii="宋体" w:hAnsi="宋体" w:cs="宋体"/>
          <w:color w:val="auto"/>
          <w:highlight w:val="none"/>
          <w:lang w:eastAsia="zh-CN"/>
        </w:rPr>
        <w:t>。</w:t>
      </w:r>
      <w:r>
        <w:rPr>
          <w:rFonts w:hint="eastAsia" w:ascii="宋体" w:hAnsi="宋体" w:cs="宋体"/>
          <w:color w:val="auto"/>
          <w:szCs w:val="22"/>
          <w:highlight w:val="none"/>
          <w:lang w:val="en-US" w:eastAsia="zh-CN"/>
        </w:rPr>
        <w:t>承包人要认真准确办理结算，</w:t>
      </w:r>
      <w:r>
        <w:rPr>
          <w:rFonts w:hint="eastAsia" w:ascii="宋体" w:hAnsi="宋体" w:cs="宋体"/>
          <w:color w:val="auto"/>
          <w:szCs w:val="22"/>
          <w:highlight w:val="none"/>
        </w:rPr>
        <w:t>审减率在10%（含）以上的项目，</w:t>
      </w:r>
      <w:r>
        <w:rPr>
          <w:rFonts w:hint="eastAsia" w:ascii="宋体" w:hAnsi="宋体" w:eastAsia="宋体" w:cs="宋体"/>
          <w:color w:val="auto"/>
          <w:highlight w:val="none"/>
          <w:lang w:val="en-US" w:eastAsia="zh-CN"/>
        </w:rPr>
        <w:t>结算审核费</w:t>
      </w:r>
      <w:r>
        <w:rPr>
          <w:rFonts w:hint="eastAsia" w:ascii="宋体" w:hAnsi="宋体" w:cs="宋体"/>
          <w:color w:val="auto"/>
          <w:szCs w:val="22"/>
          <w:highlight w:val="none"/>
        </w:rPr>
        <w:t>用由承包人承担</w:t>
      </w:r>
      <w:r>
        <w:rPr>
          <w:rFonts w:hint="eastAsia" w:ascii="宋体" w:hAnsi="宋体" w:cs="宋体"/>
          <w:color w:val="auto"/>
          <w:szCs w:val="22"/>
          <w:highlight w:val="none"/>
          <w:lang w:eastAsia="zh-CN"/>
        </w:rPr>
        <w:t>（</w:t>
      </w:r>
      <w:r>
        <w:rPr>
          <w:rFonts w:hint="eastAsia" w:ascii="宋体" w:hAnsi="宋体" w:eastAsia="宋体" w:cs="宋体"/>
          <w:color w:val="auto"/>
          <w:highlight w:val="none"/>
          <w:lang w:val="en-US" w:eastAsia="zh-CN"/>
        </w:rPr>
        <w:t>竣工验收合格后三个月内必须送审，否则结算审核费用由</w:t>
      </w:r>
      <w:r>
        <w:rPr>
          <w:rFonts w:hint="eastAsia" w:ascii="宋体" w:hAnsi="宋体" w:cs="宋体"/>
          <w:color w:val="auto"/>
          <w:szCs w:val="22"/>
          <w:highlight w:val="none"/>
        </w:rPr>
        <w:t>承包人</w:t>
      </w:r>
      <w:r>
        <w:rPr>
          <w:rFonts w:hint="eastAsia" w:ascii="宋体" w:hAnsi="宋体" w:eastAsia="宋体" w:cs="宋体"/>
          <w:color w:val="auto"/>
          <w:highlight w:val="none"/>
          <w:lang w:val="en-US" w:eastAsia="zh-CN"/>
        </w:rPr>
        <w:t>承担</w:t>
      </w:r>
      <w:r>
        <w:rPr>
          <w:rFonts w:hint="eastAsia" w:ascii="宋体" w:hAnsi="宋体" w:cs="宋体"/>
          <w:color w:val="auto"/>
          <w:szCs w:val="22"/>
          <w:highlight w:val="none"/>
          <w:lang w:eastAsia="zh-CN"/>
        </w:rPr>
        <w:t>）</w:t>
      </w:r>
      <w:r>
        <w:rPr>
          <w:rFonts w:hint="eastAsia" w:ascii="宋体" w:hAnsi="宋体" w:eastAsia="宋体" w:cs="宋体"/>
          <w:color w:val="auto"/>
          <w:highlight w:val="none"/>
          <w:lang w:val="en-US" w:eastAsia="zh-CN"/>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2.增减（变更）工程结算： </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（1）工程内容与已标价工程量清单中有相同的子项或类似子项，则按投标时的相同子项或类似子项的综合单价执行（类似子项及其综合单价由发包人审定）；</w:t>
      </w:r>
    </w:p>
    <w:p>
      <w:pPr>
        <w:pageBreakBefore w:val="0"/>
        <w:kinsoku/>
        <w:wordWrap/>
        <w:overflowPunct/>
        <w:topLinePunct w:val="0"/>
        <w:autoSpaceDE/>
        <w:autoSpaceDN/>
        <w:bidi w:val="0"/>
        <w:spacing w:line="364"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（2）工程内容如有与已标价工程量清单不同的子项（既无相同子项，又无类似子项），按</w:t>
      </w:r>
      <w:r>
        <w:rPr>
          <w:rFonts w:hint="eastAsia" w:ascii="宋体" w:hAnsi="宋体"/>
          <w:color w:val="auto"/>
          <w:szCs w:val="21"/>
          <w:highlight w:val="none"/>
          <w:lang w:val="en-US" w:eastAsia="zh-CN"/>
        </w:rPr>
        <w:t>《建设工程工程量清单计价规范》(GB50500-2013)、《重庆市建设工程工程量清单计价规则》(CQJJGZ-2013)、《重庆市建设工程工程量计算规则》（CQJLGZ-2013）、《房屋建筑与装饰工程工程量计算规范》（GB50854-2013）、渝建〔2018〕200号文颁发的《重庆市绿色建筑工程计价定额》(CQLSJZDE-2018)、《重庆市园林绿化工程计价定额》(CQYLLHDE-2018)、《重庆市建设工程费用定额》（CQFYDE-2018）及相关配套文件，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2019〕143号）计算后</w:t>
      </w:r>
      <w:r>
        <w:rPr>
          <w:rFonts w:hint="eastAsia" w:ascii="宋体" w:hAnsi="宋体" w:cs="宋体"/>
          <w:color w:val="auto"/>
          <w:highlight w:val="none"/>
          <w:lang w:val="en-US" w:eastAsia="zh-CN"/>
        </w:rPr>
        <w:t>，</w:t>
      </w:r>
      <w:r>
        <w:rPr>
          <w:rFonts w:hint="eastAsia" w:ascii="宋体" w:hAnsi="宋体" w:cs="宋体"/>
          <w:color w:val="auto"/>
          <w:highlight w:val="none"/>
        </w:rPr>
        <w:t>按承包人报价浮动率下浮后结算【其中：人工单价和材料价格：人工工日单价按开标当期《重庆工程造价信息》发布的</w:t>
      </w:r>
      <w:r>
        <w:rPr>
          <w:rFonts w:hint="eastAsia" w:ascii="宋体" w:hAnsi="宋体" w:cs="宋体"/>
          <w:color w:val="auto"/>
          <w:highlight w:val="none"/>
          <w:lang w:val="en-US" w:eastAsia="zh-CN"/>
        </w:rPr>
        <w:t>铜梁区</w:t>
      </w:r>
      <w:r>
        <w:rPr>
          <w:rFonts w:hint="eastAsia" w:ascii="宋体" w:hAnsi="宋体" w:cs="宋体"/>
          <w:color w:val="auto"/>
          <w:highlight w:val="none"/>
        </w:rPr>
        <w:t>的人工单价执行；材料价格参照</w:t>
      </w:r>
      <w:r>
        <w:rPr>
          <w:rFonts w:hint="eastAsia" w:ascii="宋体" w:hAnsi="宋体" w:cs="宋体"/>
          <w:color w:val="auto"/>
          <w:highlight w:val="none"/>
          <w:lang w:val="en-US" w:eastAsia="zh-CN"/>
        </w:rPr>
        <w:t>开标当期</w:t>
      </w:r>
      <w:r>
        <w:rPr>
          <w:rFonts w:hint="eastAsia" w:ascii="宋体" w:hAnsi="宋体" w:cs="宋体"/>
          <w:color w:val="auto"/>
          <w:highlight w:val="none"/>
        </w:rPr>
        <w:t>《重庆工程造价信息》</w:t>
      </w:r>
      <w:r>
        <w:rPr>
          <w:rFonts w:hint="eastAsia" w:ascii="宋体" w:hAnsi="宋体" w:cs="宋体"/>
          <w:color w:val="auto"/>
          <w:highlight w:val="none"/>
          <w:lang w:val="en-US" w:eastAsia="zh-CN"/>
        </w:rPr>
        <w:t>发布</w:t>
      </w:r>
      <w:r>
        <w:rPr>
          <w:rFonts w:hint="eastAsia" w:ascii="宋体" w:hAnsi="宋体" w:cs="宋体"/>
          <w:color w:val="auto"/>
          <w:highlight w:val="none"/>
        </w:rPr>
        <w:t>的铜梁地区材料价格并结合市场行情及自身实力进行调整</w:t>
      </w:r>
      <w:r>
        <w:rPr>
          <w:rFonts w:hint="eastAsia" w:ascii="宋体" w:hAnsi="宋体" w:cs="宋体"/>
          <w:color w:val="auto"/>
          <w:highlight w:val="none"/>
          <w:lang w:eastAsia="zh-CN"/>
        </w:rPr>
        <w:t>，材料价格为不含税价</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color w:val="auto"/>
          <w:highlight w:val="none"/>
        </w:rPr>
      </w:pPr>
      <w:r>
        <w:rPr>
          <w:rFonts w:hint="eastAsia" w:ascii="宋体" w:hAnsi="宋体" w:cs="宋体"/>
          <w:color w:val="auto"/>
          <w:kern w:val="0"/>
          <w:szCs w:val="21"/>
          <w:highlight w:val="none"/>
        </w:rPr>
        <w:t>3.安全文明施工费：按《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规定进行结算，安全文明施工综合评定结果为不合格，则不计取。</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4.施工技术措施项目清单计价表中以项为单位计列的项目，按投标时的报价作为结算价，包干使用。</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  竣工验收</w:t>
      </w:r>
      <w:bookmarkEnd w:id="573"/>
      <w:bookmarkEnd w:id="574"/>
      <w:bookmarkEnd w:id="575"/>
      <w:bookmarkEnd w:id="576"/>
      <w:bookmarkEnd w:id="577"/>
      <w:bookmarkEnd w:id="578"/>
      <w:bookmarkEnd w:id="579"/>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18.2  竣工验收申请报告</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竣工资料内容：</w:t>
      </w:r>
      <w:r>
        <w:rPr>
          <w:rFonts w:hint="eastAsia" w:ascii="宋体" w:hAnsi="宋体" w:cs="宋体"/>
          <w:b/>
          <w:color w:val="auto"/>
          <w:szCs w:val="21"/>
          <w:highlight w:val="none"/>
          <w:u w:val="single"/>
        </w:rPr>
        <w:t>按重庆市铜梁区城建档案室和发包人的要求，提供竣工资料。</w:t>
      </w:r>
    </w:p>
    <w:p>
      <w:pPr>
        <w:pageBreakBefore w:val="0"/>
        <w:kinsoku/>
        <w:wordWrap/>
        <w:overflowPunct/>
        <w:topLinePunct w:val="0"/>
        <w:autoSpaceDE/>
        <w:autoSpaceDN/>
        <w:bidi w:val="0"/>
        <w:adjustRightInd w:val="0"/>
        <w:snapToGrid w:val="0"/>
        <w:spacing w:line="364" w:lineRule="exact"/>
        <w:ind w:firstLine="435"/>
        <w:textAlignment w:val="auto"/>
        <w:rPr>
          <w:rFonts w:ascii="宋体" w:hAnsi="宋体" w:cs="宋体"/>
          <w:b/>
          <w:color w:val="auto"/>
          <w:szCs w:val="21"/>
          <w:highlight w:val="none"/>
        </w:rPr>
      </w:pPr>
      <w:r>
        <w:rPr>
          <w:rFonts w:hint="eastAsia" w:ascii="宋体" w:hAnsi="宋体" w:cs="宋体"/>
          <w:color w:val="auto"/>
          <w:szCs w:val="21"/>
          <w:highlight w:val="none"/>
        </w:rPr>
        <w:t>竣工资料份数：</w:t>
      </w:r>
      <w:r>
        <w:rPr>
          <w:rFonts w:hint="eastAsia" w:ascii="宋体" w:hAnsi="宋体" w:cs="宋体"/>
          <w:b/>
          <w:color w:val="auto"/>
          <w:szCs w:val="21"/>
          <w:highlight w:val="none"/>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档案验收意见书。</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18.3  验收</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18.3.5 实际竣工日期：</w:t>
      </w:r>
      <w:r>
        <w:rPr>
          <w:rFonts w:hint="eastAsia" w:ascii="宋体" w:hAnsi="宋体" w:cs="宋体"/>
          <w:b/>
          <w:color w:val="auto"/>
          <w:highlight w:val="none"/>
          <w:u w:val="single"/>
        </w:rPr>
        <w:t>以竣工验收合格之日为准。</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b/>
          <w:color w:val="auto"/>
          <w:highlight w:val="none"/>
        </w:rPr>
        <w:t>18.5 施工期运行</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18.5.1需要施工期运行单位工程或工程设备：</w:t>
      </w:r>
      <w:r>
        <w:rPr>
          <w:rFonts w:hint="eastAsia" w:ascii="宋体" w:hAnsi="宋体" w:cs="宋体"/>
          <w:b/>
          <w:color w:val="auto"/>
          <w:highlight w:val="none"/>
          <w:u w:val="single"/>
        </w:rPr>
        <w:t xml:space="preserve"> 按监理人要求办理。</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18.6 试运行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18.6.1 试运行的组织及费用承担：</w:t>
      </w:r>
      <w:r>
        <w:rPr>
          <w:rFonts w:hint="eastAsia" w:ascii="宋体" w:hAnsi="宋体" w:cs="宋体"/>
          <w:b/>
          <w:color w:val="auto"/>
          <w:highlight w:val="none"/>
          <w:u w:val="single"/>
        </w:rPr>
        <w:t xml:space="preserve"> 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18.7 竣工清场</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18.7.1 竣工清场：</w:t>
      </w:r>
      <w:r>
        <w:rPr>
          <w:rFonts w:hint="eastAsia" w:ascii="宋体" w:hAnsi="宋体" w:cs="宋体"/>
          <w:b/>
          <w:color w:val="auto"/>
          <w:highlight w:val="none"/>
          <w:u w:val="single"/>
        </w:rPr>
        <w:t>由承包人按发包人要求执行。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18.8 施工队伍的撤离</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施工人员、施工设备及临时工程撤离的要求：</w:t>
      </w:r>
      <w:r>
        <w:rPr>
          <w:rFonts w:hint="eastAsia" w:ascii="宋体" w:hAnsi="宋体" w:cs="宋体"/>
          <w:b/>
          <w:color w:val="auto"/>
          <w:highlight w:val="none"/>
          <w:u w:val="single"/>
        </w:rPr>
        <w:t>由承包人按发包人要求执行</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19.  缺陷责任与保修责任</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19.7  保修责任</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工程质量保修范围、期限和责任：</w:t>
      </w:r>
      <w:r>
        <w:rPr>
          <w:rFonts w:hint="eastAsia" w:ascii="宋体" w:hAnsi="宋体" w:cs="宋体"/>
          <w:b/>
          <w:color w:val="auto"/>
          <w:highlight w:val="none"/>
          <w:u w:val="single"/>
        </w:rPr>
        <w:t xml:space="preserve"> 按附后的《工程质量保修书》执行。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  保险</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20.1工程保险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投保人：</w:t>
      </w:r>
      <w:r>
        <w:rPr>
          <w:rFonts w:hint="eastAsia" w:ascii="宋体" w:hAnsi="宋体" w:cs="宋体"/>
          <w:b/>
          <w:color w:val="auto"/>
          <w:highlight w:val="none"/>
          <w:u w:val="single"/>
        </w:rPr>
        <w:t>承包人以发包人和承包人的共同名义向双方同意的保险人足额投保，费用由承包人负责。</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投保内容：</w:t>
      </w:r>
      <w:r>
        <w:rPr>
          <w:rFonts w:hint="eastAsia" w:ascii="宋体" w:hAnsi="宋体" w:cs="宋体"/>
          <w:b/>
          <w:color w:val="auto"/>
          <w:highlight w:val="none"/>
          <w:u w:val="single"/>
        </w:rPr>
        <w:t>按国家相关规定执行。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保险金额、保险费率和保险期限：</w:t>
      </w:r>
      <w:r>
        <w:rPr>
          <w:rFonts w:hint="eastAsia" w:ascii="宋体" w:hAnsi="宋体" w:cs="宋体"/>
          <w:b/>
          <w:color w:val="auto"/>
          <w:highlight w:val="none"/>
          <w:u w:val="single"/>
        </w:rPr>
        <w:t>保险期限为从工程开工之日至竣工验收合格之日终止证书颁发前，其他详见保险凭证。</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20.4 第三责任险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第三者责任险的保险费率：</w:t>
      </w:r>
      <w:r>
        <w:rPr>
          <w:rFonts w:hint="eastAsia" w:ascii="宋体" w:hAnsi="宋体" w:cs="宋体"/>
          <w:b/>
          <w:color w:val="auto"/>
          <w:highlight w:val="none"/>
          <w:u w:val="single"/>
        </w:rPr>
        <w:t>按相关规定执行。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第三者责任险的保险金额：</w:t>
      </w:r>
      <w:r>
        <w:rPr>
          <w:rFonts w:hint="eastAsia" w:ascii="宋体" w:hAnsi="宋体" w:cs="宋体"/>
          <w:b/>
          <w:color w:val="auto"/>
          <w:highlight w:val="none"/>
          <w:u w:val="single"/>
        </w:rPr>
        <w:t>按相关规定执行</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20.5 其他保险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需要投保其他内容、保险金额、费率及期限等：</w:t>
      </w:r>
      <w:r>
        <w:rPr>
          <w:rFonts w:hint="eastAsia" w:ascii="宋体" w:hAnsi="宋体" w:cs="宋体"/>
          <w:b/>
          <w:color w:val="auto"/>
          <w:highlight w:val="none"/>
          <w:u w:val="single"/>
        </w:rPr>
        <w:t>由承包人负责。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20.6  对各项保险的一般要求</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20.6.1  保险凭证</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保险条件：</w:t>
      </w:r>
      <w:r>
        <w:rPr>
          <w:rFonts w:hint="eastAsia" w:ascii="宋体" w:hAnsi="宋体" w:cs="宋体"/>
          <w:b/>
          <w:color w:val="auto"/>
          <w:highlight w:val="none"/>
          <w:u w:val="single"/>
        </w:rPr>
        <w:t>按国家相关规定和发包人要求执行。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承包人提交保险凭证的期限：</w:t>
      </w:r>
      <w:r>
        <w:rPr>
          <w:rFonts w:hint="eastAsia" w:ascii="宋体" w:hAnsi="宋体" w:cs="宋体"/>
          <w:b/>
          <w:color w:val="auto"/>
          <w:highlight w:val="none"/>
          <w:u w:val="single"/>
        </w:rPr>
        <w:t>工程开工前。</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20.6.4  对各项保险的一般要求</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保险金不足以补偿损失时，应由承包人负责补偿的范围与金额： </w:t>
      </w:r>
      <w:r>
        <w:rPr>
          <w:rFonts w:hint="eastAsia" w:ascii="宋体" w:hAnsi="宋体" w:cs="宋体"/>
          <w:b/>
          <w:color w:val="auto"/>
          <w:highlight w:val="none"/>
          <w:u w:val="single"/>
        </w:rPr>
        <w:t>以发包人和承包人共同名义投保的，当保险金不足以补偿损失时，由承包人负责补偿；发包人、承包人以各自名义投保的，保险金不足以补偿损失时，由各自负责其补偿。</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 不可抗力</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21.1 不可抗力的确认</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不可抗力的范围：</w:t>
      </w:r>
      <w:r>
        <w:rPr>
          <w:rFonts w:hint="eastAsia" w:ascii="宋体" w:hAnsi="宋体" w:cs="宋体"/>
          <w:b/>
          <w:color w:val="auto"/>
          <w:highlight w:val="none"/>
          <w:u w:val="single"/>
        </w:rPr>
        <w:t>按通用合同条款。</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21.3 不可抗力后果及其处理</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21.3.1不可抗力造成损害的责任</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不可抗力导致的人员伤亡、财产损失、费用增加和（或）工期延误，合同双方按以下方法承担：</w:t>
      </w:r>
      <w:r>
        <w:rPr>
          <w:rFonts w:hint="eastAsia" w:ascii="宋体" w:hAnsi="宋体" w:cs="宋体"/>
          <w:b/>
          <w:color w:val="auto"/>
          <w:highlight w:val="none"/>
          <w:u w:val="single"/>
        </w:rPr>
        <w:t>按通用合同条款执行。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22. 违约</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22.1承包人违约</w:t>
      </w:r>
    </w:p>
    <w:p>
      <w:pPr>
        <w:pageBreakBefore w:val="0"/>
        <w:kinsoku/>
        <w:wordWrap/>
        <w:overflowPunct/>
        <w:topLinePunct w:val="0"/>
        <w:autoSpaceDE/>
        <w:autoSpaceDN/>
        <w:bidi w:val="0"/>
        <w:spacing w:line="364" w:lineRule="exact"/>
        <w:textAlignment w:val="auto"/>
        <w:rPr>
          <w:rFonts w:ascii="宋体" w:hAnsi="宋体" w:cs="宋体"/>
          <w:b/>
          <w:color w:val="auto"/>
          <w:szCs w:val="21"/>
          <w:highlight w:val="none"/>
        </w:rPr>
      </w:pPr>
      <w:r>
        <w:rPr>
          <w:rFonts w:hint="eastAsia" w:ascii="宋体" w:hAnsi="宋体" w:cs="宋体"/>
          <w:b/>
          <w:color w:val="auto"/>
          <w:szCs w:val="21"/>
          <w:highlight w:val="none"/>
        </w:rPr>
        <w:t>22.1.1 承包人违约的情形</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szCs w:val="21"/>
          <w:highlight w:val="none"/>
        </w:rPr>
      </w:pPr>
      <w:r>
        <w:rPr>
          <w:rFonts w:hint="eastAsia" w:ascii="宋体" w:hAnsi="宋体" w:cs="宋体"/>
          <w:b/>
          <w:color w:val="auto"/>
          <w:szCs w:val="21"/>
          <w:highlight w:val="none"/>
        </w:rPr>
        <w:t>增加下列条款：</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（10）承包人向监理人和发包人提供的所有工程资料和数据必须真实可靠。经检查发现承包人有弄虚作假的，每发现一次，发包人有权要求承包人支付 10000元违约金。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（11）承包人在工程收方中采用欺骗手段或弄虚作假的，每发现一次，发包人有权要求承包人支付5-10万元的违约金。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其履约保证金不予退还，给发包人造成的损失超过履约保证金数额的，承包人还应对超过部分进行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5000元。</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15）发包人发现承包人将承接的工程转包、违法分包、挂靠（指承包人允许他人以承包人的名义承担本合同项目）的，发包人应当报相关行政主管部门依法处理。承包人拒不改正违法行为的，发包人有权解除合同，履约保证金不予退还，给发包人造成的损失超过履约保证金数额的，承包人还应对超过部分进行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5000元。</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17）工程项目部管理人员必须与投标文件中拟派人员相符，并到位履职，否则发包人有权单方解除合同，承包人的履约保证金不予退还，给发包人造成的损失超过履约保证金数额的，承包人还应对超过部分予以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szCs w:val="22"/>
          <w:highlight w:val="none"/>
          <w:u w:val="single"/>
        </w:rPr>
      </w:pPr>
      <w:r>
        <w:rPr>
          <w:rFonts w:hint="eastAsia" w:ascii="宋体" w:hAnsi="宋体" w:cs="宋体"/>
          <w:b/>
          <w:color w:val="auto"/>
          <w:szCs w:val="22"/>
          <w:highlight w:val="none"/>
          <w:u w:val="single"/>
        </w:rPr>
        <w:t>（18）项目开工后，工程项目部主要管理人员应常驻施工现场，若因生病等特殊情况需要请假的，应上报发包人获得批准，无故缺岗的，每发现一次，发包人有权要求承包人支付2000元违约金，项目经理无故缺岗的，除要求支付违约金外，还将上报至建设监督部门依法处理。</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（19）若承包人出现以下情形之一，经发包人催告后仍不配合，则视为承包人严重违约，发包人有权解除合同，其履约保证金不予退还。</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a.本工程施工合同签订后3 日内，承包人必须向建设行政主管部门等部门缴纳办理本工程开工前的建设手续的相关费用（如农民工工资保障金等）而未行办理缴纳的；</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b.本工程施工合同签订后3日内，承包人必须配合发包人办理完成本工程开工前的相关建设手续而未行配合的；</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c.本工程施工合同签订后3日内，承包人必须按监理人要求向监理人提供相关资料而未行提交的；</w:t>
      </w:r>
    </w:p>
    <w:p>
      <w:pPr>
        <w:pageBreakBefore w:val="0"/>
        <w:kinsoku/>
        <w:wordWrap/>
        <w:overflowPunct/>
        <w:topLinePunct w:val="0"/>
        <w:autoSpaceDE/>
        <w:autoSpaceDN/>
        <w:bidi w:val="0"/>
        <w:spacing w:line="364" w:lineRule="exact"/>
        <w:ind w:firstLine="413" w:firstLineChars="196"/>
        <w:textAlignment w:val="auto"/>
        <w:rPr>
          <w:b/>
          <w:color w:val="auto"/>
          <w:highlight w:val="none"/>
          <w:u w:val="single"/>
        </w:rPr>
      </w:pPr>
      <w:r>
        <w:rPr>
          <w:rFonts w:hint="eastAsia"/>
          <w:b/>
          <w:color w:val="auto"/>
          <w:highlight w:val="none"/>
          <w:u w:val="single"/>
        </w:rPr>
        <w:t>d.本工程开工令下达后，承包人未按监理单位批准的施工组织设计方案正常组织施工的。</w:t>
      </w:r>
    </w:p>
    <w:p>
      <w:pPr>
        <w:pageBreakBefore w:val="0"/>
        <w:kinsoku/>
        <w:wordWrap/>
        <w:overflowPunct/>
        <w:topLinePunct w:val="0"/>
        <w:autoSpaceDE/>
        <w:autoSpaceDN/>
        <w:bidi w:val="0"/>
        <w:spacing w:line="364" w:lineRule="exact"/>
        <w:ind w:firstLine="413" w:firstLineChars="196"/>
        <w:textAlignment w:val="auto"/>
        <w:rPr>
          <w:b/>
          <w:color w:val="auto"/>
          <w:highlight w:val="none"/>
          <w:u w:val="single"/>
        </w:rPr>
      </w:pPr>
      <w:r>
        <w:rPr>
          <w:rFonts w:hint="eastAsia"/>
          <w:b/>
          <w:color w:val="auto"/>
          <w:highlight w:val="none"/>
          <w:u w:val="single"/>
        </w:rPr>
        <w:t>（20）承包人违返上述条款的约定的违法金和损失款，发包人有权直接在工程款或履约保证金中直接扣除。</w:t>
      </w:r>
    </w:p>
    <w:p>
      <w:pPr>
        <w:pageBreakBefore w:val="0"/>
        <w:numPr>
          <w:ilvl w:val="0"/>
          <w:numId w:val="3"/>
        </w:numPr>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索赔</w:t>
      </w:r>
    </w:p>
    <w:p>
      <w:pPr>
        <w:pageBreakBefore w:val="0"/>
        <w:kinsoku/>
        <w:wordWrap/>
        <w:overflowPunct/>
        <w:topLinePunct w:val="0"/>
        <w:autoSpaceDE/>
        <w:autoSpaceDN/>
        <w:bidi w:val="0"/>
        <w:spacing w:line="364" w:lineRule="exact"/>
        <w:textAlignment w:val="auto"/>
        <w:rPr>
          <w:color w:val="auto"/>
          <w:highlight w:val="none"/>
        </w:rPr>
      </w:pPr>
      <w:r>
        <w:rPr>
          <w:rFonts w:hint="eastAsia"/>
          <w:b/>
          <w:color w:val="auto"/>
          <w:highlight w:val="none"/>
        </w:rPr>
        <w:t>23.1  承包人索赔的提出</w:t>
      </w:r>
    </w:p>
    <w:p>
      <w:pPr>
        <w:pageBreakBefore w:val="0"/>
        <w:kinsoku/>
        <w:wordWrap/>
        <w:overflowPunct/>
        <w:topLinePunct w:val="0"/>
        <w:autoSpaceDE/>
        <w:autoSpaceDN/>
        <w:bidi w:val="0"/>
        <w:spacing w:line="364" w:lineRule="exact"/>
        <w:ind w:firstLine="420" w:firstLineChars="200"/>
        <w:textAlignment w:val="auto"/>
        <w:rPr>
          <w:color w:val="auto"/>
          <w:highlight w:val="none"/>
        </w:rPr>
      </w:pPr>
      <w:r>
        <w:rPr>
          <w:rFonts w:hint="eastAsia"/>
          <w:color w:val="auto"/>
          <w:highlight w:val="none"/>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pageBreakBefore w:val="0"/>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24.  争议的解决</w:t>
      </w:r>
    </w:p>
    <w:p>
      <w:pPr>
        <w:pageBreakBefore w:val="0"/>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24.1  争议的解决方式</w:t>
      </w:r>
    </w:p>
    <w:p>
      <w:pPr>
        <w:pageBreakBefore w:val="0"/>
        <w:kinsoku/>
        <w:wordWrap/>
        <w:overflowPunct/>
        <w:topLinePunct w:val="0"/>
        <w:autoSpaceDE/>
        <w:autoSpaceDN/>
        <w:bidi w:val="0"/>
        <w:spacing w:line="364" w:lineRule="exact"/>
        <w:textAlignment w:val="auto"/>
        <w:rPr>
          <w:rFonts w:hint="eastAsia"/>
          <w:color w:val="auto"/>
          <w:highlight w:val="none"/>
        </w:rPr>
      </w:pPr>
      <w:r>
        <w:rPr>
          <w:rFonts w:hint="eastAsia"/>
          <w:color w:val="auto"/>
          <w:highlight w:val="none"/>
        </w:rPr>
        <w:t xml:space="preserve">   争议的解决方式：</w:t>
      </w:r>
      <w:r>
        <w:rPr>
          <w:rFonts w:hint="eastAsia"/>
          <w:b/>
          <w:color w:val="auto"/>
          <w:highlight w:val="none"/>
        </w:rPr>
        <w:t>本合同履行地为工程项目所在地，发包人和承包人在履行合同中发生争议的，协商解决；合同当事人友好协商解决不成的，任何一方均可向重庆市铜梁区人民法院提起诉讼，但承包人不得因此而停工</w:t>
      </w:r>
      <w:r>
        <w:rPr>
          <w:rFonts w:hint="eastAsia"/>
          <w:color w:val="auto"/>
          <w:highlight w:val="none"/>
        </w:rPr>
        <w:t>。</w:t>
      </w:r>
    </w:p>
    <w:p>
      <w:pPr>
        <w:pStyle w:val="6"/>
        <w:keepNext/>
        <w:keepLines/>
        <w:pageBreakBefore w:val="0"/>
        <w:kinsoku/>
        <w:wordWrap/>
        <w:overflowPunct/>
        <w:topLinePunct w:val="0"/>
        <w:autoSpaceDE/>
        <w:autoSpaceDN/>
        <w:bidi w:val="0"/>
        <w:spacing w:before="0" w:beforeAutospacing="0" w:after="0" w:afterAutospacing="0" w:line="364" w:lineRule="exact"/>
        <w:jc w:val="both"/>
        <w:textAlignment w:val="auto"/>
        <w:rPr>
          <w:bCs w:val="0"/>
          <w:color w:val="auto"/>
          <w:kern w:val="2"/>
          <w:sz w:val="21"/>
          <w:szCs w:val="21"/>
          <w:highlight w:val="none"/>
        </w:rPr>
      </w:pPr>
      <w:bookmarkStart w:id="580" w:name="_Toc532375686"/>
      <w:bookmarkStart w:id="581" w:name="_Toc532377425"/>
      <w:bookmarkStart w:id="582" w:name="_Toc351203652"/>
      <w:r>
        <w:rPr>
          <w:rFonts w:hint="eastAsia"/>
          <w:color w:val="auto"/>
          <w:kern w:val="2"/>
          <w:sz w:val="21"/>
          <w:szCs w:val="21"/>
          <w:highlight w:val="none"/>
        </w:rPr>
        <w:t>2</w:t>
      </w:r>
      <w:r>
        <w:rPr>
          <w:rFonts w:hint="eastAsia"/>
          <w:color w:val="auto"/>
          <w:kern w:val="2"/>
          <w:sz w:val="21"/>
          <w:szCs w:val="21"/>
          <w:highlight w:val="none"/>
          <w:lang w:val="en-US" w:eastAsia="zh-CN"/>
        </w:rPr>
        <w:t>5</w:t>
      </w:r>
      <w:r>
        <w:rPr>
          <w:rFonts w:hint="eastAsia"/>
          <w:color w:val="auto"/>
          <w:kern w:val="2"/>
          <w:sz w:val="21"/>
          <w:szCs w:val="21"/>
          <w:highlight w:val="none"/>
        </w:rPr>
        <w:t>. 合同附件</w:t>
      </w:r>
      <w:bookmarkEnd w:id="580"/>
      <w:bookmarkEnd w:id="581"/>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附件1：工程质量保修书</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附件2：承包人项目管理机构组成表</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：履约担保</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：廉洁从业协议</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：安全管理协议</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color w:val="auto"/>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6</w:t>
      </w:r>
      <w:r>
        <w:rPr>
          <w:rFonts w:hint="eastAsia" w:ascii="宋体" w:hAnsi="宋体" w:cs="Times New Roman"/>
          <w:color w:val="auto"/>
          <w:szCs w:val="21"/>
          <w:highlight w:val="none"/>
        </w:rPr>
        <w:t>：保障农民工工资支付协议</w:t>
      </w:r>
      <w:bookmarkEnd w:id="582"/>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MingLiUfalt"/>
          <w:snapToGrid w:val="0"/>
          <w:color w:val="auto"/>
          <w:kern w:val="0"/>
          <w:szCs w:val="21"/>
          <w:highlight w:val="none"/>
        </w:rPr>
      </w:pPr>
      <w:r>
        <w:rPr>
          <w:rFonts w:hint="eastAsia" w:ascii="宋体" w:hAnsi="宋体" w:cs="MingLiUfalt"/>
          <w:snapToGrid w:val="0"/>
          <w:color w:val="auto"/>
          <w:kern w:val="0"/>
          <w:szCs w:val="21"/>
          <w:highlight w:val="none"/>
        </w:rPr>
        <w:t>发包人：</w:t>
      </w:r>
      <w:r>
        <w:rPr>
          <w:rFonts w:hint="eastAsia" w:ascii="宋体" w:hAnsi="宋体"/>
          <w:color w:val="auto"/>
          <w:highlight w:val="none"/>
          <w:u w:val="single"/>
        </w:rPr>
        <w:t>　　　　　　　　　　</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盖单位公章</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 xml:space="preserve">    承包人：</w:t>
      </w:r>
      <w:r>
        <w:rPr>
          <w:rFonts w:hint="eastAsia" w:ascii="宋体" w:hAnsi="宋体"/>
          <w:color w:val="auto"/>
          <w:highlight w:val="none"/>
          <w:u w:val="single"/>
        </w:rPr>
        <w:t>　　　　　　　　　　</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盖单位公章</w:t>
      </w:r>
      <w:r>
        <w:rPr>
          <w:rFonts w:ascii="宋体" w:hAnsi="宋体" w:cs="MingLiUfalt"/>
          <w:snapToGrid w:val="0"/>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法定地址：</w:t>
      </w:r>
      <w:r>
        <w:rPr>
          <w:rFonts w:hint="eastAsia" w:ascii="宋体" w:hAnsi="宋体"/>
          <w:color w:val="auto"/>
          <w:highlight w:val="none"/>
          <w:u w:val="single"/>
        </w:rPr>
        <w:t>　　　　　　　　　  　</w:t>
      </w:r>
      <w:r>
        <w:rPr>
          <w:rFonts w:hint="eastAsia" w:ascii="宋体" w:hAnsi="宋体"/>
          <w:color w:val="auto"/>
          <w:highlight w:val="none"/>
        </w:rPr>
        <w:t>　　　      法定地址：</w:t>
      </w:r>
      <w:r>
        <w:rPr>
          <w:rFonts w:hint="eastAsia" w:ascii="宋体" w:hAnsi="宋体"/>
          <w:color w:val="auto"/>
          <w:highlight w:val="none"/>
          <w:u w:val="singl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MingLiUfalt"/>
          <w:snapToGrid w:val="0"/>
          <w:color w:val="auto"/>
          <w:kern w:val="0"/>
          <w:szCs w:val="21"/>
          <w:highlight w:val="none"/>
        </w:rPr>
      </w:pPr>
      <w:r>
        <w:rPr>
          <w:rFonts w:hint="eastAsia" w:ascii="宋体" w:hAnsi="宋体" w:cs="MingLiUfalt"/>
          <w:snapToGrid w:val="0"/>
          <w:color w:val="auto"/>
          <w:kern w:val="0"/>
          <w:szCs w:val="21"/>
          <w:highlight w:val="none"/>
        </w:rPr>
        <w:t>法定代表人：</w:t>
      </w:r>
      <w:r>
        <w:rPr>
          <w:rFonts w:hint="eastAsia" w:ascii="宋体" w:hAnsi="宋体"/>
          <w:color w:val="auto"/>
          <w:highlight w:val="none"/>
          <w:u w:val="single"/>
        </w:rPr>
        <w:t>　         　　</w:t>
      </w:r>
      <w:r>
        <w:rPr>
          <w:rFonts w:hint="eastAsia" w:ascii="宋体" w:hAnsi="宋体"/>
          <w:color w:val="auto"/>
          <w:highlight w:val="none"/>
        </w:rPr>
        <w:t>（签字）</w:t>
      </w:r>
      <w:r>
        <w:rPr>
          <w:rFonts w:hint="eastAsia" w:ascii="宋体" w:hAnsi="宋体" w:cs="MingLiUfalt"/>
          <w:snapToGrid w:val="0"/>
          <w:color w:val="auto"/>
          <w:kern w:val="0"/>
          <w:szCs w:val="21"/>
          <w:highlight w:val="none"/>
        </w:rPr>
        <w:t xml:space="preserve">         法定代表人：</w:t>
      </w:r>
      <w:r>
        <w:rPr>
          <w:rFonts w:hint="eastAsia" w:ascii="宋体" w:hAnsi="宋体"/>
          <w:color w:val="auto"/>
          <w:highlight w:val="none"/>
          <w:u w:val="single"/>
        </w:rPr>
        <w:t>　　       　 　</w:t>
      </w:r>
      <w:r>
        <w:rPr>
          <w:rFonts w:hint="eastAsia" w:ascii="宋体" w:hAnsi="宋体"/>
          <w:color w:val="auto"/>
          <w:highlight w:val="none"/>
        </w:rPr>
        <w:t>（签字）</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w:t>
      </w:r>
      <w:r>
        <w:rPr>
          <w:rFonts w:hint="eastAsia" w:ascii="宋体" w:hAnsi="宋体"/>
          <w:color w:val="auto"/>
          <w:highlight w:val="none"/>
        </w:rPr>
        <w:t>　　　　    电    话：</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w:t>
      </w:r>
      <w:r>
        <w:rPr>
          <w:rFonts w:hint="eastAsia" w:ascii="宋体" w:hAnsi="宋体"/>
          <w:color w:val="auto"/>
          <w:highlight w:val="none"/>
        </w:rPr>
        <w:t>　　　　　  传    真：</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电子邮箱：</w:t>
      </w:r>
      <w:r>
        <w:rPr>
          <w:rFonts w:hint="eastAsia" w:ascii="宋体" w:hAnsi="宋体"/>
          <w:color w:val="auto"/>
          <w:highlight w:val="none"/>
          <w:u w:val="single"/>
        </w:rPr>
        <w:t>　　　　　　　  　　　</w:t>
      </w:r>
      <w:r>
        <w:rPr>
          <w:rFonts w:hint="eastAsia" w:ascii="宋体" w:hAnsi="宋体"/>
          <w:color w:val="auto"/>
          <w:highlight w:val="none"/>
        </w:rPr>
        <w:t>　　　　　  电子邮箱：</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宋体"/>
          <w:color w:val="auto"/>
          <w:szCs w:val="21"/>
          <w:highlight w:val="none"/>
        </w:rPr>
      </w:pPr>
      <w:r>
        <w:rPr>
          <w:rFonts w:hint="eastAsia" w:ascii="宋体" w:hAnsi="宋体"/>
          <w:color w:val="auto"/>
          <w:highlight w:val="none"/>
        </w:rPr>
        <w:t>邮政编码：</w:t>
      </w:r>
      <w:r>
        <w:rPr>
          <w:rFonts w:hint="eastAsia" w:ascii="宋体" w:hAnsi="宋体"/>
          <w:color w:val="auto"/>
          <w:highlight w:val="none"/>
          <w:u w:val="single"/>
        </w:rPr>
        <w:t>　　　　　　 　　 　　</w:t>
      </w:r>
      <w:r>
        <w:rPr>
          <w:rFonts w:hint="eastAsia" w:ascii="宋体" w:hAnsi="宋体"/>
          <w:color w:val="auto"/>
          <w:highlight w:val="none"/>
        </w:rPr>
        <w:t>　　　　　  邮政编码：</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1680" w:firstLineChars="800"/>
        <w:textAlignment w:val="auto"/>
        <w:rPr>
          <w:rFonts w:hint="eastAsia" w:ascii="宋体" w:hAnsi="宋体" w:cs="宋体"/>
          <w:color w:val="auto"/>
          <w:szCs w:val="21"/>
          <w:highlight w:val="none"/>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hint="eastAsia" w:ascii="宋体" w:hAnsi="宋体" w:cs="宋体"/>
          <w:color w:val="auto"/>
          <w:szCs w:val="21"/>
          <w:highlight w:val="none"/>
        </w:rPr>
        <w:t>　年　　月　　日　　　　　　　　　            年　　月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附</w:t>
      </w:r>
      <w:bookmarkStart w:id="583" w:name="_Toc267261693"/>
      <w:bookmarkStart w:id="584" w:name="_Toc296891266"/>
      <w:bookmarkStart w:id="585" w:name="_Toc296503226"/>
      <w:bookmarkStart w:id="586" w:name="_Toc296346727"/>
      <w:bookmarkStart w:id="587" w:name="_Toc296891054"/>
      <w:bookmarkStart w:id="588" w:name="_Toc296944565"/>
      <w:bookmarkStart w:id="589" w:name="_Toc296347225"/>
      <w:r>
        <w:rPr>
          <w:rFonts w:hint="eastAsia" w:ascii="宋体" w:hAnsi="宋体"/>
          <w:color w:val="auto"/>
          <w:szCs w:val="21"/>
          <w:highlight w:val="none"/>
        </w:rPr>
        <w:t>件1：</w:t>
      </w:r>
      <w:bookmarkEnd w:id="583"/>
      <w:bookmarkEnd w:id="584"/>
      <w:bookmarkEnd w:id="585"/>
      <w:bookmarkEnd w:id="586"/>
      <w:bookmarkEnd w:id="587"/>
      <w:bookmarkEnd w:id="588"/>
      <w:bookmarkEnd w:id="589"/>
    </w:p>
    <w:p>
      <w:pPr>
        <w:keepNext w:val="0"/>
        <w:keepLines w:val="0"/>
        <w:pageBreakBefore w:val="0"/>
        <w:widowControl w:val="0"/>
        <w:kinsoku/>
        <w:wordWrap/>
        <w:overflowPunct/>
        <w:topLinePunct w:val="0"/>
        <w:autoSpaceDE/>
        <w:autoSpaceDN/>
        <w:bidi w:val="0"/>
        <w:adjustRightInd/>
        <w:snapToGrid/>
        <w:spacing w:beforeLines="50" w:afterLines="50" w:line="280" w:lineRule="exact"/>
        <w:jc w:val="center"/>
        <w:textAlignment w:val="auto"/>
        <w:rPr>
          <w:rFonts w:ascii="宋体" w:hAnsi="宋体"/>
          <w:color w:val="auto"/>
          <w:szCs w:val="21"/>
          <w:highlight w:val="none"/>
        </w:rPr>
      </w:pPr>
      <w:r>
        <w:rPr>
          <w:rFonts w:hint="eastAsia" w:ascii="宋体" w:hAnsi="宋体"/>
          <w:color w:val="auto"/>
          <w:szCs w:val="21"/>
          <w:highlight w:val="none"/>
        </w:rPr>
        <w:t>工程质量保修书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0" w:name="_Toc532375687"/>
      <w:r>
        <w:rPr>
          <w:rFonts w:hint="eastAsia" w:ascii="宋体" w:hAnsi="宋体"/>
          <w:color w:val="auto"/>
          <w:szCs w:val="21"/>
          <w:highlight w:val="none"/>
        </w:rPr>
        <w:t>一、工程质量保修范围和内容</w:t>
      </w:r>
      <w:bookmarkEnd w:id="590"/>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1" w:name="_Toc532375688"/>
      <w:r>
        <w:rPr>
          <w:rFonts w:hint="eastAsia" w:ascii="宋体" w:hAnsi="宋体"/>
          <w:color w:val="auto"/>
          <w:szCs w:val="21"/>
          <w:highlight w:val="none"/>
        </w:rPr>
        <w:t>二、质量保修期</w:t>
      </w:r>
      <w:bookmarkEnd w:id="591"/>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3.供热与供冷系统，为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个采暖期、供冷期；</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4.电气管线、给排水管道、设备安装和装修工程，为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5.其他项目保修期限：</w:t>
      </w:r>
      <w:r>
        <w:rPr>
          <w:rFonts w:hint="eastAsia" w:ascii="宋体" w:hAnsi="宋体"/>
          <w:color w:val="auto"/>
          <w:szCs w:val="21"/>
          <w:highlight w:val="none"/>
          <w:u w:val="single"/>
          <w:lang w:val="en-US" w:eastAsia="zh-CN"/>
        </w:rPr>
        <w:t xml:space="preserve"> 1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2" w:name="_Toc532375689"/>
      <w:r>
        <w:rPr>
          <w:rFonts w:hint="eastAsia" w:ascii="宋体" w:hAnsi="宋体"/>
          <w:color w:val="auto"/>
          <w:szCs w:val="21"/>
          <w:highlight w:val="none"/>
        </w:rPr>
        <w:t>三、质量保修责任</w:t>
      </w:r>
      <w:bookmarkEnd w:id="592"/>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7</w:t>
      </w:r>
      <w:r>
        <w:rPr>
          <w:rFonts w:hint="eastAsia" w:ascii="宋体" w:hAnsi="宋体"/>
          <w:color w:val="auto"/>
          <w:szCs w:val="21"/>
          <w:highlight w:val="none"/>
        </w:rPr>
        <w:t>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4.质量保修完成后，由发包人组织验收。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3" w:name="_Toc532375690"/>
      <w:r>
        <w:rPr>
          <w:rFonts w:hint="eastAsia" w:ascii="宋体" w:hAnsi="宋体"/>
          <w:color w:val="auto"/>
          <w:szCs w:val="21"/>
          <w:highlight w:val="none"/>
        </w:rPr>
        <w:t>四、保修费用</w:t>
      </w:r>
      <w:bookmarkEnd w:id="593"/>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保修费用由质量缺陷的责任方承担。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4" w:name="_Toc532375691"/>
      <w:r>
        <w:rPr>
          <w:rFonts w:hint="eastAsia" w:ascii="宋体" w:hAnsi="宋体"/>
          <w:color w:val="auto"/>
          <w:szCs w:val="21"/>
          <w:highlight w:val="none"/>
        </w:rPr>
        <w:t>五、双方约定的其他工程质量保修事项</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594"/>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pStyle w:val="2"/>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spacing w:val="1"/>
          <w:w w:val="99"/>
          <w:kern w:val="0"/>
          <w:position w:val="-2"/>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pPr>
        <w:keepNext w:val="0"/>
        <w:keepLines w:val="0"/>
        <w:pageBreakBefore w:val="0"/>
        <w:widowControl w:val="0"/>
        <w:kinsoku/>
        <w:wordWrap/>
        <w:overflowPunct/>
        <w:topLinePunct w:val="0"/>
        <w:autoSpaceDE/>
        <w:autoSpaceDN/>
        <w:bidi w:val="0"/>
        <w:adjustRightInd/>
        <w:snapToGrid/>
        <w:spacing w:line="280" w:lineRule="exact"/>
        <w:ind w:firstLine="418" w:firstLineChars="200"/>
        <w:textAlignment w:val="auto"/>
        <w:rPr>
          <w:rFonts w:ascii="宋体" w:hAnsi="宋体"/>
          <w:snapToGrid w:val="0"/>
          <w:color w:val="auto"/>
          <w:spacing w:val="1"/>
          <w:w w:val="99"/>
          <w:kern w:val="0"/>
          <w:position w:val="-2"/>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2</w:t>
      </w:r>
      <w:r>
        <w:rPr>
          <w:rFonts w:hint="eastAsia" w:ascii="宋体" w:hAnsi="宋体"/>
          <w:color w:val="auto"/>
          <w:szCs w:val="21"/>
          <w:highlight w:val="none"/>
        </w:rPr>
        <w:t>：</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bl>
    <w:p>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bookmarkStart w:id="595" w:name="_Toc267261701"/>
      <w:r>
        <w:rPr>
          <w:rFonts w:hint="eastAsia" w:ascii="宋体" w:hAnsi="宋体"/>
          <w:color w:val="auto"/>
          <w:szCs w:val="21"/>
          <w:highlight w:val="none"/>
        </w:rPr>
        <w:t>附</w:t>
      </w:r>
      <w:bookmarkStart w:id="596" w:name="_Toc296346732"/>
      <w:bookmarkStart w:id="597" w:name="_Toc296891271"/>
      <w:bookmarkStart w:id="598" w:name="_Toc296891059"/>
      <w:bookmarkStart w:id="599" w:name="_Toc296944570"/>
      <w:bookmarkStart w:id="600" w:name="_Toc296503231"/>
      <w:bookmarkStart w:id="601" w:name="_Toc296347230"/>
      <w:r>
        <w:rPr>
          <w:rFonts w:hint="eastAsia" w:ascii="宋体" w:hAnsi="宋体"/>
          <w:color w:val="auto"/>
          <w:szCs w:val="21"/>
          <w:highlight w:val="none"/>
        </w:rPr>
        <w:t>件</w:t>
      </w:r>
      <w:r>
        <w:rPr>
          <w:rFonts w:hint="eastAsia" w:ascii="宋体" w:hAnsi="宋体"/>
          <w:color w:val="auto"/>
          <w:szCs w:val="21"/>
          <w:highlight w:val="none"/>
          <w:lang w:val="en-US" w:eastAsia="zh-CN"/>
        </w:rPr>
        <w:t>3</w:t>
      </w:r>
      <w:r>
        <w:rPr>
          <w:rFonts w:hint="eastAsia" w:ascii="宋体" w:hAnsi="宋体"/>
          <w:color w:val="auto"/>
          <w:szCs w:val="21"/>
          <w:highlight w:val="none"/>
        </w:rPr>
        <w:t>：</w:t>
      </w:r>
    </w:p>
    <w:bookmarkEnd w:id="595"/>
    <w:bookmarkEnd w:id="596"/>
    <w:bookmarkEnd w:id="597"/>
    <w:bookmarkEnd w:id="598"/>
    <w:bookmarkEnd w:id="599"/>
    <w:bookmarkEnd w:id="600"/>
    <w:bookmarkEnd w:id="601"/>
    <w:p>
      <w:pPr>
        <w:spacing w:beforeLines="50" w:afterLines="50" w:line="48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（发包人名称）：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（发包人名称，以下简称“发包人”）与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4"/>
          <w:rFonts w:hint="eastAsia"/>
          <w:color w:val="auto"/>
          <w:highlight w:val="none"/>
        </w:rPr>
        <w:t>我</w:t>
      </w:r>
      <w:r>
        <w:rPr>
          <w:rFonts w:hint="eastAsia" w:ascii="宋体" w:hAnsi="宋体"/>
          <w:color w:val="auto"/>
          <w:szCs w:val="21"/>
          <w:highlight w:val="none"/>
          <w:u w:val="single"/>
        </w:rPr>
        <w:t>方法定代表人（或其委托代理人）签字并加盖公章之日起至你方签发或应签发工程接收证书之日止</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重庆市 </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重庆市铜梁区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本保函自我方法定代表人（或其委托代理人）签字并加盖公章之日起生效。</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jc w:val="right"/>
        <w:rPr>
          <w:rFonts w:hint="eastAsia" w:ascii="宋体" w:hAnsi="宋体"/>
          <w:color w:val="auto"/>
          <w:szCs w:val="21"/>
          <w:highlight w:val="none"/>
          <w:u w:val="single"/>
        </w:rPr>
      </w:pPr>
    </w:p>
    <w:p>
      <w:pPr>
        <w:spacing w:line="360" w:lineRule="auto"/>
        <w:ind w:firstLine="420" w:firstLineChars="200"/>
        <w:jc w:val="right"/>
        <w:rPr>
          <w:rFonts w:hint="eastAsia" w:ascii="宋体" w:hAnsi="宋体"/>
          <w:color w:val="auto"/>
          <w:szCs w:val="21"/>
          <w:highlight w:val="none"/>
          <w:u w:val="single"/>
        </w:rPr>
      </w:pPr>
    </w:p>
    <w:p>
      <w:pPr>
        <w:spacing w:line="480" w:lineRule="auto"/>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：廉洁从业协议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pStyle w:val="2"/>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甲     方：                         乙     方：</w:t>
      </w:r>
    </w:p>
    <w:p>
      <w:pPr>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：安全管理协议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安全管理协议</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一、协议有效期限</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二、责任目标</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1．不发生人身重伤事故；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2．不发生火灾事故；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（三）承包人承诺在施工中控制以下安全事故的发生：</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1．人员轻伤事故。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3．其他安全未遂事故和异常事件。</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三、安全责任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四、接口及协调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五、安全资质审查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1．企业安全生产许可证书复印件。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4．特种作业人员资格证书。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六、人员基本素质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承包人提供的人员必须满足下列要求: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2．无刑事案件牵连。</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3．无吸毒、酗酒、赌博、嫖娼等恶习及违法行为。</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七、劳动保护</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八、施工机具与材料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九、开工前安全条件检查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十、安全监督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十一、安全培训与授权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十二、职业健康与卫生防疫</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十三、文明施工与环保要求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十四、工程风险管理与事故预防</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（一）基本要求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（3）施工作业条件的类型和主要事故风险。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（5）主要火灾危险（可燃物、点火源）。</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（8）其他。</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（二）现场作业基本安全条件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十五、事故报告与应急救援</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十六、安全业绩考核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签约合同价的4‰</w:t>
            </w:r>
          </w:p>
        </w:tc>
      </w:tr>
    </w:tbl>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十七、协议条款的修订</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发  包  人（公章）：</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szCs w:val="21"/>
          <w:highlight w:val="none"/>
        </w:rPr>
        <w:t>承  包  人（公章）：</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olor w:val="auto"/>
          <w:kern w:val="0"/>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保障农民工工资支付协议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六、本协议经双方法定代表人或委托代理人签字并加盖公章后生效，履行完毕后自然失效。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napToGrid w:val="0"/>
        <w:spacing w:line="360" w:lineRule="auto"/>
        <w:ind w:firstLine="56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施工单位项目负责人签字（加盖项目章）：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总监签字并加盖项目章：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项目负责人签字：</w:t>
            </w:r>
            <w:r>
              <w:rPr>
                <w:rFonts w:hint="eastAsia" w:ascii="宋体" w:hAnsi="宋体"/>
                <w:color w:val="auto"/>
                <w:kern w:val="0"/>
                <w:szCs w:val="21"/>
                <w:highlight w:val="none"/>
                <w:u w:val="single"/>
              </w:rPr>
              <w:t xml:space="preserve">        </w:t>
            </w:r>
          </w:p>
        </w:tc>
      </w:tr>
    </w:tbl>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3"/>
        <w:spacing w:before="0" w:after="0" w:line="360" w:lineRule="auto"/>
        <w:jc w:val="center"/>
        <w:rPr>
          <w:rFonts w:hint="eastAsia" w:ascii="宋体" w:hAnsi="宋体"/>
          <w:color w:val="auto"/>
          <w:highlight w:val="none"/>
        </w:rPr>
      </w:pPr>
      <w:bookmarkStart w:id="602" w:name="_Toc27983313"/>
      <w:bookmarkStart w:id="603" w:name="_Toc41900067"/>
    </w:p>
    <w:p>
      <w:pPr>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3"/>
        <w:spacing w:before="0" w:after="0" w:line="360" w:lineRule="auto"/>
        <w:jc w:val="center"/>
        <w:rPr>
          <w:rFonts w:ascii="宋体" w:hAnsi="宋体"/>
          <w:color w:val="auto"/>
          <w:highlight w:val="none"/>
        </w:rPr>
      </w:pPr>
      <w:r>
        <w:rPr>
          <w:rFonts w:hint="eastAsia" w:ascii="宋体" w:hAnsi="宋体"/>
          <w:color w:val="auto"/>
          <w:highlight w:val="none"/>
        </w:rPr>
        <w:t>第五章  工程量清单</w:t>
      </w:r>
      <w:bookmarkEnd w:id="602"/>
      <w:bookmarkEnd w:id="603"/>
    </w:p>
    <w:p>
      <w:pPr>
        <w:snapToGrid w:val="0"/>
        <w:spacing w:line="360" w:lineRule="auto"/>
        <w:jc w:val="center"/>
        <w:rPr>
          <w:rFonts w:ascii="宋体" w:hAnsi="宋体"/>
          <w:color w:val="auto"/>
          <w:sz w:val="24"/>
          <w:highlight w:val="none"/>
        </w:rPr>
      </w:pPr>
    </w:p>
    <w:p>
      <w:pPr>
        <w:snapToGrid w:val="0"/>
        <w:spacing w:line="360" w:lineRule="auto"/>
        <w:jc w:val="left"/>
        <w:rPr>
          <w:rFonts w:ascii="宋体" w:hAnsi="宋体"/>
          <w:color w:val="auto"/>
          <w:szCs w:val="20"/>
          <w:highlight w:val="none"/>
        </w:rPr>
      </w:pPr>
      <w:r>
        <w:rPr>
          <w:rFonts w:hint="eastAsia" w:ascii="宋体" w:hAnsi="宋体"/>
          <w:color w:val="auto"/>
          <w:szCs w:val="20"/>
          <w:highlight w:val="none"/>
          <w:lang w:eastAsia="zh-CN"/>
        </w:rPr>
        <w:t>本工程工程量清单、限价由投标人自行在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上下载</w:t>
      </w:r>
      <w:r>
        <w:rPr>
          <w:rFonts w:hint="eastAsia" w:ascii="宋体" w:hAnsi="宋体"/>
          <w:color w:val="auto"/>
          <w:szCs w:val="20"/>
          <w:highlight w:val="none"/>
        </w:rPr>
        <w:t>。</w:t>
      </w:r>
    </w:p>
    <w:p>
      <w:pPr>
        <w:snapToGrid w:val="0"/>
        <w:spacing w:line="360" w:lineRule="auto"/>
        <w:jc w:val="center"/>
        <w:rPr>
          <w:rFonts w:ascii="宋体" w:hAnsi="宋体"/>
          <w:color w:val="auto"/>
          <w:szCs w:val="21"/>
          <w:highlight w:val="none"/>
        </w:rPr>
      </w:pPr>
    </w:p>
    <w:p>
      <w:pPr>
        <w:ind w:right="561"/>
        <w:rPr>
          <w:rFonts w:ascii="宋体" w:hAnsi="宋体"/>
          <w:color w:val="auto"/>
          <w:szCs w:val="21"/>
          <w:highlight w:val="none"/>
        </w:rPr>
      </w:pPr>
      <w:r>
        <w:rPr>
          <w:rFonts w:ascii="宋体" w:hAnsi="宋体"/>
          <w:color w:val="auto"/>
          <w:sz w:val="24"/>
          <w:highlight w:val="none"/>
        </w:rPr>
        <w:br w:type="page"/>
      </w:r>
    </w:p>
    <w:bookmarkEnd w:id="503"/>
    <w:bookmarkEnd w:id="504"/>
    <w:p>
      <w:pPr>
        <w:spacing w:line="240" w:lineRule="exact"/>
        <w:rPr>
          <w:rFonts w:ascii="宋体" w:hAnsi="宋体"/>
          <w:color w:val="auto"/>
          <w:szCs w:val="20"/>
          <w:highlight w:val="none"/>
        </w:rPr>
      </w:pPr>
    </w:p>
    <w:p>
      <w:pPr>
        <w:pStyle w:val="3"/>
        <w:spacing w:line="360" w:lineRule="auto"/>
        <w:jc w:val="center"/>
        <w:rPr>
          <w:rFonts w:ascii="宋体" w:hAnsi="宋体"/>
          <w:color w:val="auto"/>
          <w:highlight w:val="none"/>
        </w:rPr>
      </w:pPr>
      <w:bookmarkStart w:id="604" w:name="招标文件06章图纸"/>
      <w:bookmarkEnd w:id="604"/>
      <w:bookmarkStart w:id="605" w:name="_Toc534185825"/>
      <w:bookmarkStart w:id="606" w:name="_Toc430530519"/>
      <w:bookmarkStart w:id="607" w:name="_Toc287620803"/>
      <w:bookmarkStart w:id="608" w:name="_Toc287607861"/>
      <w:bookmarkStart w:id="609" w:name="_Toc509218846"/>
      <w:bookmarkStart w:id="610" w:name="_Toc41900069"/>
      <w:r>
        <w:rPr>
          <w:rFonts w:hint="eastAsia" w:ascii="宋体" w:hAnsi="宋体"/>
          <w:color w:val="auto"/>
          <w:highlight w:val="none"/>
        </w:rPr>
        <w:t>第六章  图纸</w:t>
      </w:r>
      <w:bookmarkEnd w:id="605"/>
      <w:bookmarkEnd w:id="606"/>
      <w:bookmarkEnd w:id="607"/>
      <w:bookmarkEnd w:id="608"/>
      <w:bookmarkEnd w:id="609"/>
      <w:bookmarkEnd w:id="610"/>
    </w:p>
    <w:p>
      <w:pPr>
        <w:spacing w:line="360" w:lineRule="auto"/>
        <w:jc w:val="center"/>
        <w:rPr>
          <w:rFonts w:ascii="宋体" w:hAnsi="宋体"/>
          <w:color w:val="auto"/>
          <w:szCs w:val="20"/>
          <w:highlight w:val="none"/>
        </w:rPr>
      </w:pPr>
      <w:r>
        <w:rPr>
          <w:rFonts w:hint="eastAsia" w:ascii="宋体" w:hAnsi="宋体"/>
          <w:color w:val="auto"/>
          <w:highlight w:val="none"/>
          <w:lang w:eastAsia="zh-CN"/>
        </w:rPr>
        <w:t>投标</w:t>
      </w:r>
      <w:r>
        <w:rPr>
          <w:rFonts w:hint="eastAsia" w:ascii="宋体" w:hAnsi="宋体"/>
          <w:color w:val="auto"/>
          <w:highlight w:val="none"/>
        </w:rPr>
        <w:t>人自行在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上下载</w:t>
      </w:r>
      <w:r>
        <w:rPr>
          <w:rFonts w:hint="eastAsia" w:ascii="宋体" w:hAnsi="宋体"/>
          <w:color w:val="auto"/>
          <w:szCs w:val="20"/>
          <w:highlight w:val="none"/>
        </w:rPr>
        <w:t>。</w:t>
      </w:r>
    </w:p>
    <w:p>
      <w:pPr>
        <w:spacing w:line="360" w:lineRule="auto"/>
        <w:rPr>
          <w:rFonts w:ascii="宋体" w:hAnsi="宋体"/>
          <w:color w:val="auto"/>
          <w:szCs w:val="20"/>
          <w:highlight w:val="none"/>
        </w:rPr>
      </w:pPr>
      <w:bookmarkStart w:id="611" w:name="招标文件06章图纸01"/>
      <w:bookmarkEnd w:id="611"/>
      <w:bookmarkStart w:id="612" w:name="_Toc287620804"/>
      <w:bookmarkStart w:id="613" w:name="_Toc430530520"/>
    </w:p>
    <w:bookmarkEnd w:id="612"/>
    <w:bookmarkEnd w:id="613"/>
    <w:p>
      <w:pPr>
        <w:spacing w:line="360" w:lineRule="auto"/>
        <w:rPr>
          <w:rFonts w:ascii="宋体" w:hAnsi="宋体"/>
          <w:color w:val="auto"/>
          <w:highlight w:val="none"/>
        </w:rPr>
      </w:pPr>
      <w:r>
        <w:rPr>
          <w:rFonts w:ascii="宋体" w:hAnsi="宋体"/>
          <w:color w:val="auto"/>
          <w:szCs w:val="20"/>
          <w:highlight w:val="none"/>
        </w:rPr>
        <w:br w:type="page"/>
      </w:r>
    </w:p>
    <w:p>
      <w:pPr>
        <w:pStyle w:val="3"/>
        <w:spacing w:line="360" w:lineRule="auto"/>
        <w:jc w:val="center"/>
        <w:rPr>
          <w:rFonts w:ascii="宋体" w:hAnsi="宋体"/>
          <w:color w:val="auto"/>
          <w:highlight w:val="none"/>
        </w:rPr>
      </w:pPr>
      <w:bookmarkStart w:id="614" w:name="招标文件07章技术标准和要求"/>
      <w:bookmarkEnd w:id="614"/>
      <w:bookmarkStart w:id="615" w:name="_Toc41900071"/>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615"/>
      <w:bookmarkStart w:id="616" w:name="招标文件07章技术标准和要求01"/>
      <w:bookmarkEnd w:id="616"/>
      <w:bookmarkStart w:id="617" w:name="_Toc287620808"/>
      <w:bookmarkStart w:id="618" w:name="_Toc430530524"/>
    </w:p>
    <w:bookmarkEnd w:id="617"/>
    <w:bookmarkEnd w:id="618"/>
    <w:p>
      <w:pPr>
        <w:adjustRightInd w:val="0"/>
        <w:snapToGrid w:val="0"/>
        <w:spacing w:line="300" w:lineRule="auto"/>
        <w:ind w:firstLine="420" w:firstLineChars="200"/>
        <w:rPr>
          <w:rFonts w:ascii="宋体"/>
          <w:color w:val="auto"/>
          <w:szCs w:val="21"/>
          <w:highlight w:val="none"/>
        </w:rPr>
      </w:pPr>
      <w:bookmarkStart w:id="619" w:name="_Toc509218849"/>
      <w:bookmarkStart w:id="620" w:name="_Toc19811"/>
      <w:bookmarkStart w:id="621" w:name="_Toc534185827"/>
      <w:r>
        <w:rPr>
          <w:rFonts w:hint="eastAsia" w:ascii="宋体" w:hAnsi="宋体"/>
          <w:color w:val="auto"/>
          <w:szCs w:val="21"/>
          <w:highlight w:val="none"/>
        </w:rPr>
        <w:t>一、技术标准和要求以本工程设计施工图为准。</w:t>
      </w:r>
    </w:p>
    <w:p>
      <w:pPr>
        <w:adjustRightInd w:val="0"/>
        <w:snapToGrid w:val="0"/>
        <w:spacing w:line="300" w:lineRule="auto"/>
        <w:ind w:firstLine="420" w:firstLineChars="200"/>
        <w:rPr>
          <w:rFonts w:ascii="宋体"/>
          <w:color w:val="auto"/>
          <w:szCs w:val="21"/>
          <w:highlight w:val="none"/>
        </w:rPr>
      </w:pPr>
      <w:r>
        <w:rPr>
          <w:rFonts w:hint="eastAsia" w:ascii="宋体" w:hAnsi="宋体"/>
          <w:color w:val="auto"/>
          <w:szCs w:val="21"/>
          <w:highlight w:val="none"/>
        </w:rPr>
        <w:t>二、按国家及重庆市相关设计、施工验收规范及标准执行。</w:t>
      </w: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bookmarkEnd w:id="619"/>
    <w:bookmarkEnd w:id="620"/>
    <w:bookmarkEnd w:id="621"/>
    <w:p>
      <w:pPr>
        <w:pStyle w:val="3"/>
        <w:spacing w:line="360" w:lineRule="auto"/>
        <w:jc w:val="center"/>
        <w:rPr>
          <w:rFonts w:ascii="宋体" w:hAnsi="宋体"/>
          <w:color w:val="auto"/>
          <w:highlight w:val="none"/>
        </w:rPr>
      </w:pPr>
      <w:bookmarkStart w:id="622" w:name="_Toc509218852"/>
      <w:bookmarkStart w:id="623" w:name="_Toc287607865"/>
      <w:bookmarkStart w:id="624" w:name="_Toc287620812"/>
      <w:bookmarkStart w:id="625" w:name="_Toc534185829"/>
      <w:bookmarkStart w:id="626" w:name="_Toc430530528"/>
      <w:bookmarkStart w:id="627" w:name="_Toc41900073"/>
      <w:r>
        <w:rPr>
          <w:rFonts w:hint="eastAsia" w:ascii="宋体" w:hAnsi="宋体"/>
          <w:color w:val="auto"/>
          <w:highlight w:val="none"/>
        </w:rPr>
        <w:t>第八章  投标文件格式</w:t>
      </w:r>
      <w:bookmarkEnd w:id="622"/>
      <w:bookmarkEnd w:id="623"/>
      <w:bookmarkEnd w:id="624"/>
      <w:bookmarkEnd w:id="625"/>
      <w:bookmarkEnd w:id="626"/>
      <w:bookmarkEnd w:id="627"/>
    </w:p>
    <w:p>
      <w:pPr>
        <w:spacing w:line="360" w:lineRule="auto"/>
        <w:rPr>
          <w:rFonts w:ascii="宋体" w:hAnsi="宋体"/>
          <w:color w:val="auto"/>
          <w:sz w:val="32"/>
          <w:szCs w:val="32"/>
          <w:highlight w:val="none"/>
        </w:rPr>
      </w:pPr>
    </w:p>
    <w:p>
      <w:pPr>
        <w:spacing w:line="360" w:lineRule="auto"/>
        <w:jc w:val="center"/>
        <w:rPr>
          <w:rFonts w:ascii="宋体" w:hAnsi="宋体"/>
          <w:color w:val="auto"/>
          <w:sz w:val="36"/>
          <w:szCs w:val="36"/>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5080" b="508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pPr>
                        <w:jc w:val="center"/>
                      </w:pPr>
                    </w:p>
                  </w:txbxContent>
                </v:textbox>
              </v:rect>
            </w:pict>
          </mc:Fallback>
        </mc:AlternateContent>
      </w:r>
      <w:r>
        <w:rPr>
          <w:rFonts w:ascii="宋体" w:hAnsi="宋体"/>
          <w:color w:val="auto"/>
          <w:szCs w:val="20"/>
          <w:highlight w:val="none"/>
        </w:rPr>
        <w:br w:type="page"/>
      </w:r>
      <w:bookmarkStart w:id="628" w:name="_Toc224103493"/>
      <w:r>
        <w:rPr>
          <w:rFonts w:hint="eastAsia" w:ascii="宋体" w:hAnsi="宋体"/>
          <w:color w:val="auto"/>
          <w:sz w:val="36"/>
          <w:szCs w:val="36"/>
          <w:highlight w:val="none"/>
        </w:rPr>
        <w:t>目  录</w:t>
      </w:r>
      <w:bookmarkEnd w:id="628"/>
    </w:p>
    <w:p>
      <w:pPr>
        <w:spacing w:line="360" w:lineRule="auto"/>
        <w:rPr>
          <w:rFonts w:ascii="宋体" w:hAnsi="宋体"/>
          <w:b/>
          <w:color w:val="auto"/>
          <w:highlight w:val="none"/>
        </w:rPr>
      </w:pPr>
      <w:r>
        <w:rPr>
          <w:rFonts w:hint="eastAsia" w:ascii="宋体" w:hAnsi="宋体"/>
          <w:b/>
          <w:color w:val="auto"/>
          <w:highlight w:val="none"/>
          <w:lang w:val="en-US" w:eastAsia="zh-CN"/>
        </w:rPr>
        <w:t>一</w:t>
      </w:r>
      <w:r>
        <w:rPr>
          <w:rFonts w:ascii="宋体" w:hAnsi="宋体"/>
          <w:b/>
          <w:color w:val="auto"/>
          <w:highlight w:val="none"/>
        </w:rPr>
        <w:t>、投标函部分</w:t>
      </w:r>
    </w:p>
    <w:p>
      <w:pPr>
        <w:spacing w:line="360" w:lineRule="auto"/>
        <w:ind w:firstLine="420" w:firstLineChars="200"/>
        <w:rPr>
          <w:rFonts w:ascii="宋体" w:hAnsi="宋体"/>
          <w:color w:val="auto"/>
          <w:highlight w:val="none"/>
        </w:rPr>
      </w:pPr>
      <w:r>
        <w:rPr>
          <w:rFonts w:ascii="宋体" w:hAnsi="宋体"/>
          <w:color w:val="auto"/>
          <w:highlight w:val="none"/>
        </w:rPr>
        <w:t>（一）投标函</w:t>
      </w:r>
    </w:p>
    <w:p>
      <w:pPr>
        <w:spacing w:line="360" w:lineRule="auto"/>
        <w:ind w:firstLine="420" w:firstLineChars="200"/>
        <w:rPr>
          <w:rFonts w:ascii="宋体" w:hAnsi="宋体"/>
          <w:color w:val="auto"/>
          <w:highlight w:val="none"/>
        </w:rPr>
      </w:pPr>
      <w:r>
        <w:rPr>
          <w:rFonts w:ascii="宋体" w:hAnsi="宋体"/>
          <w:color w:val="auto"/>
          <w:highlight w:val="none"/>
        </w:rPr>
        <w:t>（二）投标函附录</w:t>
      </w:r>
    </w:p>
    <w:p>
      <w:pPr>
        <w:spacing w:line="360" w:lineRule="auto"/>
        <w:ind w:firstLine="420" w:firstLineChars="200"/>
        <w:rPr>
          <w:rFonts w:ascii="宋体" w:hAnsi="宋体"/>
          <w:color w:val="auto"/>
          <w:highlight w:val="none"/>
        </w:rPr>
      </w:pPr>
      <w:r>
        <w:rPr>
          <w:rFonts w:ascii="宋体" w:hAnsi="宋体"/>
          <w:color w:val="auto"/>
          <w:highlight w:val="none"/>
        </w:rPr>
        <w:t>（三）法定代表人身份证明及授权委托书</w:t>
      </w:r>
    </w:p>
    <w:p>
      <w:pPr>
        <w:pStyle w:val="2"/>
        <w:ind w:firstLine="420" w:firstLineChars="200"/>
        <w:rPr>
          <w:rFonts w:hint="eastAsia" w:eastAsia="宋体"/>
          <w:lang w:val="en-US" w:eastAsia="zh-CN"/>
        </w:rPr>
      </w:pPr>
      <w:r>
        <w:rPr>
          <w:rFonts w:hint="eastAsia"/>
          <w:lang w:val="en-US" w:eastAsia="zh-CN"/>
        </w:rPr>
        <w:t>（</w:t>
      </w:r>
      <w:r>
        <w:rPr>
          <w:rFonts w:hint="eastAsia" w:ascii="宋体" w:hAnsi="宋体" w:eastAsia="宋体" w:cs="Times New Roman"/>
          <w:color w:val="auto"/>
          <w:kern w:val="2"/>
          <w:sz w:val="21"/>
          <w:szCs w:val="24"/>
          <w:highlight w:val="none"/>
          <w:lang w:val="en-US" w:eastAsia="zh-CN" w:bidi="ar-SA"/>
        </w:rPr>
        <w:t>四）低价风险担保缴纳承诺书（如有）</w:t>
      </w:r>
    </w:p>
    <w:p>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、商务部分</w:t>
      </w:r>
    </w:p>
    <w:p>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p>
    <w:p>
      <w:pPr>
        <w:spacing w:line="360" w:lineRule="auto"/>
        <w:ind w:firstLine="420" w:firstLineChars="200"/>
        <w:rPr>
          <w:rFonts w:ascii="宋体" w:hAnsi="宋体"/>
          <w:color w:val="auto"/>
          <w:highlight w:val="none"/>
        </w:rPr>
      </w:pPr>
      <w:r>
        <w:rPr>
          <w:rFonts w:ascii="宋体" w:hAnsi="宋体"/>
          <w:color w:val="auto"/>
          <w:highlight w:val="none"/>
        </w:rPr>
        <w:t>（一）法定代表人身份证明及授权委托书</w:t>
      </w:r>
    </w:p>
    <w:p>
      <w:pPr>
        <w:spacing w:line="360" w:lineRule="auto"/>
        <w:ind w:firstLine="420" w:firstLineChars="200"/>
        <w:rPr>
          <w:rFonts w:ascii="宋体" w:hAnsi="宋体"/>
          <w:color w:val="auto"/>
          <w:highlight w:val="none"/>
        </w:rPr>
      </w:pPr>
      <w:r>
        <w:rPr>
          <w:rFonts w:ascii="宋体" w:hAnsi="宋体"/>
          <w:color w:val="auto"/>
          <w:highlight w:val="none"/>
        </w:rPr>
        <w:t>（二）投标人基本情况表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三</w:t>
      </w:r>
      <w:r>
        <w:rPr>
          <w:rFonts w:ascii="宋体" w:hAnsi="宋体"/>
          <w:color w:val="auto"/>
          <w:highlight w:val="none"/>
        </w:rPr>
        <w:t>）项目管理机构</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四</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五</w:t>
      </w:r>
      <w:r>
        <w:rPr>
          <w:rFonts w:ascii="宋体" w:hAnsi="宋体"/>
          <w:color w:val="auto"/>
          <w:highlight w:val="none"/>
        </w:rPr>
        <w:t>）其他资料</w:t>
      </w:r>
    </w:p>
    <w:p>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629" w:name="_Toc277082642"/>
      <w:bookmarkStart w:id="630" w:name="_Toc287620813"/>
      <w:bookmarkStart w:id="631" w:name="_Toc224103494"/>
      <w:bookmarkStart w:id="632" w:name="_Toc430530529"/>
      <w:bookmarkStart w:id="633" w:name="_Toc287607866"/>
    </w:p>
    <w:bookmarkEnd w:id="629"/>
    <w:bookmarkEnd w:id="630"/>
    <w:bookmarkEnd w:id="631"/>
    <w:bookmarkEnd w:id="632"/>
    <w:bookmarkEnd w:id="633"/>
    <w:p>
      <w:pPr>
        <w:rPr>
          <w:color w:val="auto"/>
          <w:highlight w:val="none"/>
        </w:rPr>
      </w:pPr>
    </w:p>
    <w:p>
      <w:pPr>
        <w:autoSpaceDE w:val="0"/>
        <w:autoSpaceDN w:val="0"/>
        <w:adjustRightInd w:val="0"/>
        <w:spacing w:line="424" w:lineRule="exact"/>
        <w:ind w:firstLine="3080" w:firstLineChars="700"/>
        <w:jc w:val="both"/>
        <w:rPr>
          <w:rFonts w:ascii="宋体" w:hAnsi="宋体"/>
          <w:color w:val="auto"/>
          <w:sz w:val="44"/>
          <w:szCs w:val="44"/>
          <w:highlight w:val="none"/>
        </w:rPr>
      </w:pPr>
      <w:r>
        <w:rPr>
          <w:rFonts w:hint="eastAsia" w:ascii="宋体" w:hAnsi="宋体"/>
          <w:color w:val="auto"/>
          <w:sz w:val="44"/>
          <w:szCs w:val="44"/>
          <w:highlight w:val="none"/>
          <w:lang w:val="en-US" w:eastAsia="zh-CN"/>
        </w:rPr>
        <w:t>一</w:t>
      </w:r>
      <w:r>
        <w:rPr>
          <w:rFonts w:hint="eastAsia" w:ascii="宋体" w:hAnsi="宋体"/>
          <w:color w:val="auto"/>
          <w:sz w:val="44"/>
          <w:szCs w:val="44"/>
          <w:highlight w:val="none"/>
        </w:rPr>
        <w:t>、</w:t>
      </w:r>
      <w:bookmarkStart w:id="634" w:name="_Toc27983321"/>
      <w:r>
        <w:rPr>
          <w:rFonts w:hint="eastAsia" w:ascii="宋体" w:hAnsi="宋体"/>
          <w:color w:val="auto"/>
          <w:sz w:val="44"/>
          <w:szCs w:val="44"/>
          <w:highlight w:val="none"/>
        </w:rPr>
        <w:t>投标函部分</w:t>
      </w:r>
      <w:bookmarkEnd w:id="634"/>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pStyle w:val="56"/>
        <w:rPr>
          <w:color w:val="auto"/>
          <w:highlight w:val="none"/>
        </w:rPr>
      </w:pPr>
    </w:p>
    <w:p>
      <w:pPr>
        <w:rPr>
          <w:color w:val="auto"/>
          <w:highlight w:val="none"/>
        </w:rPr>
      </w:pPr>
    </w:p>
    <w:p>
      <w:pPr>
        <w:pStyle w:val="2"/>
        <w:rPr>
          <w:color w:val="auto"/>
          <w:highlight w:val="none"/>
        </w:rPr>
      </w:pP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（一）投标函</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（二）投标函附录</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s="Times New Roman"/>
          <w:color w:val="auto"/>
          <w:kern w:val="0"/>
          <w:sz w:val="24"/>
          <w:highlight w:val="none"/>
        </w:rPr>
      </w:pPr>
      <w:r>
        <w:rPr>
          <w:rFonts w:ascii="宋体" w:hAnsi="宋体" w:cs="Times New Roman"/>
          <w:color w:val="auto"/>
          <w:kern w:val="0"/>
          <w:sz w:val="24"/>
          <w:highlight w:val="none"/>
        </w:rPr>
        <w:t>（三）法定代表人身份证明及授权委托书</w:t>
      </w:r>
    </w:p>
    <w:p>
      <w:pPr>
        <w:pStyle w:val="2"/>
        <w:keepNext w:val="0"/>
        <w:keepLines w:val="0"/>
        <w:pageBreakBefore w:val="0"/>
        <w:widowControl w:val="0"/>
        <w:kinsoku/>
        <w:wordWrap/>
        <w:overflowPunct/>
        <w:topLinePunct w:val="0"/>
        <w:bidi w:val="0"/>
        <w:snapToGrid/>
        <w:spacing w:line="500" w:lineRule="exact"/>
        <w:ind w:firstLine="480" w:firstLineChars="200"/>
        <w:textAlignment w:val="auto"/>
      </w:pPr>
      <w:r>
        <w:rPr>
          <w:rFonts w:hint="eastAsia" w:ascii="宋体" w:hAnsi="宋体" w:cs="MingLiUfalt"/>
          <w:kern w:val="0"/>
          <w:sz w:val="24"/>
          <w:lang w:eastAsia="zh-CN"/>
        </w:rPr>
        <w:t>（四）</w:t>
      </w:r>
      <w:r>
        <w:rPr>
          <w:rFonts w:hint="eastAsia" w:ascii="宋体" w:hAnsi="宋体" w:cs="MingLiUfalt"/>
          <w:kern w:val="0"/>
          <w:sz w:val="24"/>
        </w:rPr>
        <w:t>低价风险担保缴纳承诺书（如有）</w:t>
      </w:r>
    </w:p>
    <w:p>
      <w:pPr>
        <w:autoSpaceDE w:val="0"/>
        <w:autoSpaceDN w:val="0"/>
        <w:adjustRightInd w:val="0"/>
        <w:snapToGrid w:val="0"/>
        <w:spacing w:line="360" w:lineRule="auto"/>
        <w:jc w:val="left"/>
        <w:rPr>
          <w:rFonts w:hint="eastAsia" w:ascii="宋体" w:hAnsi="宋体" w:eastAsia="宋体"/>
          <w:color w:val="auto"/>
          <w:kern w:val="0"/>
          <w:szCs w:val="21"/>
          <w:highlight w:val="none"/>
          <w:lang w:eastAsia="zh-CN"/>
        </w:rPr>
      </w:pPr>
      <w:r>
        <w:rPr>
          <w:rFonts w:hint="eastAsia" w:ascii="宋体" w:hAnsi="宋体" w:cs="Times New Roman"/>
          <w:color w:val="auto"/>
          <w:kern w:val="0"/>
          <w:sz w:val="24"/>
          <w:highlight w:val="none"/>
          <w:lang w:val="en-US" w:eastAsia="zh-CN"/>
        </w:rPr>
        <w:t xml:space="preserve"> </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spacing w:after="260"/>
        <w:jc w:val="center"/>
        <w:rPr>
          <w:rFonts w:ascii="宋体" w:hAnsi="宋体"/>
          <w:b/>
          <w:color w:val="auto"/>
          <w:highlight w:val="none"/>
        </w:rPr>
      </w:pPr>
      <w:bookmarkStart w:id="635" w:name="_Toc287607867"/>
      <w:bookmarkStart w:id="636" w:name="_Toc509218854"/>
      <w:bookmarkStart w:id="637" w:name="_Toc224103495"/>
      <w:bookmarkStart w:id="638" w:name="_Toc277082643"/>
      <w:bookmarkStart w:id="639" w:name="_Toc287620814"/>
      <w:bookmarkStart w:id="640" w:name="_Toc534185831"/>
      <w:bookmarkStart w:id="641" w:name="_Toc430530530"/>
      <w:r>
        <w:rPr>
          <w:rFonts w:ascii="宋体" w:hAnsi="宋体"/>
          <w:color w:val="auto"/>
          <w:highlight w:val="none"/>
        </w:rPr>
        <w:br w:type="page"/>
      </w:r>
      <w:r>
        <w:rPr>
          <w:rFonts w:hint="eastAsia" w:ascii="宋体" w:hAnsi="宋体"/>
          <w:snapToGrid w:val="0"/>
          <w:color w:val="auto"/>
          <w:kern w:val="0"/>
          <w:sz w:val="32"/>
          <w:szCs w:val="32"/>
          <w:highlight w:val="none"/>
        </w:rPr>
        <w:t>（一）投标函</w:t>
      </w:r>
      <w:bookmarkEnd w:id="635"/>
      <w:bookmarkEnd w:id="636"/>
      <w:bookmarkEnd w:id="637"/>
      <w:bookmarkEnd w:id="638"/>
      <w:bookmarkEnd w:id="639"/>
      <w:bookmarkEnd w:id="640"/>
      <w:bookmarkEnd w:id="641"/>
    </w:p>
    <w:p>
      <w:pPr>
        <w:tabs>
          <w:tab w:val="left" w:pos="2640"/>
        </w:tabs>
        <w:autoSpaceDE w:val="0"/>
        <w:autoSpaceDN w:val="0"/>
        <w:adjustRightIn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名称）：</w:t>
      </w:r>
    </w:p>
    <w:p>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标段施工（分包）</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日历天， 按合同约定实施和完成承包工程，修补工程中的任何缺陷，工程质量达到</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我方承诺在投标有效期内不修改、撤销投标文件。</w:t>
      </w:r>
    </w:p>
    <w:p>
      <w:pPr>
        <w:tabs>
          <w:tab w:val="left" w:pos="2730"/>
          <w:tab w:val="left" w:pos="7980"/>
        </w:tabs>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）。投标保证金有限期与投标有限期一致，在此期间，若我方违反招投标有关法律、法规及本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规定向你方递交履约担保。</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在此声明，所递交的投标文件及有关资料内容完整、真实和准确，且不存在第二章“投标人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及附件、答疑及补遗通知中所有的内容。</w:t>
      </w:r>
    </w:p>
    <w:p>
      <w:pPr>
        <w:tabs>
          <w:tab w:val="left" w:pos="5985"/>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（其他补充说明）。</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电</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jc w:val="right"/>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pacing w:after="260"/>
        <w:jc w:val="center"/>
        <w:rPr>
          <w:rFonts w:ascii="宋体" w:hAnsi="宋体"/>
          <w:snapToGrid w:val="0"/>
          <w:color w:val="auto"/>
          <w:kern w:val="0"/>
          <w:szCs w:val="21"/>
          <w:highlight w:val="none"/>
        </w:rPr>
      </w:pPr>
      <w:bookmarkStart w:id="642" w:name="_Toc287607868"/>
      <w:bookmarkStart w:id="643" w:name="_Toc430530531"/>
      <w:bookmarkStart w:id="644" w:name="_Toc224103496"/>
      <w:bookmarkStart w:id="645" w:name="_Toc287620815"/>
      <w:bookmarkStart w:id="646" w:name="_Toc277082644"/>
      <w:r>
        <w:rPr>
          <w:rFonts w:ascii="宋体" w:hAnsi="宋体"/>
          <w:color w:val="auto"/>
          <w:sz w:val="28"/>
          <w:highlight w:val="none"/>
        </w:rPr>
        <w:br w:type="page"/>
      </w:r>
      <w:bookmarkStart w:id="647" w:name="_Toc534185832"/>
      <w:bookmarkStart w:id="648" w:name="_Toc509218855"/>
      <w:r>
        <w:rPr>
          <w:rFonts w:ascii="宋体" w:hAnsi="宋体"/>
          <w:snapToGrid w:val="0"/>
          <w:color w:val="auto"/>
          <w:kern w:val="0"/>
          <w:sz w:val="32"/>
          <w:szCs w:val="32"/>
          <w:highlight w:val="none"/>
        </w:rPr>
        <w:t>（二）投标函附录</w:t>
      </w:r>
      <w:bookmarkEnd w:id="642"/>
      <w:bookmarkEnd w:id="643"/>
      <w:bookmarkEnd w:id="644"/>
      <w:bookmarkEnd w:id="645"/>
      <w:bookmarkEnd w:id="646"/>
      <w:bookmarkEnd w:id="647"/>
      <w:bookmarkEnd w:id="648"/>
    </w:p>
    <w:tbl>
      <w:tblPr>
        <w:tblStyle w:val="45"/>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1.1.2.8</w:t>
            </w:r>
          </w:p>
        </w:tc>
        <w:tc>
          <w:tcPr>
            <w:tcW w:w="2987" w:type="dxa"/>
            <w:vAlign w:val="center"/>
          </w:tcPr>
          <w:p>
            <w:pPr>
              <w:tabs>
                <w:tab w:val="left" w:pos="2190"/>
              </w:tabs>
              <w:autoSpaceDE w:val="0"/>
              <w:autoSpaceDN w:val="0"/>
              <w:adjustRightInd w:val="0"/>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姓名：</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pPr>
              <w:tabs>
                <w:tab w:val="left" w:pos="1560"/>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天数：</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日历天</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缺陷责任期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1.1.4.4</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bl>
    <w:p>
      <w:pPr>
        <w:spacing w:line="360" w:lineRule="auto"/>
        <w:rPr>
          <w:rFonts w:ascii="宋体" w:hAnsi="宋体"/>
          <w:snapToGrid w:val="0"/>
          <w:color w:val="auto"/>
          <w:w w:val="99"/>
          <w:highlight w:val="none"/>
        </w:rPr>
      </w:pPr>
    </w:p>
    <w:p>
      <w:pPr>
        <w:spacing w:line="360" w:lineRule="auto"/>
        <w:rPr>
          <w:rFonts w:ascii="宋体" w:hAnsi="宋体"/>
          <w:snapToGrid w:val="0"/>
          <w:color w:val="auto"/>
          <w:highlight w:val="none"/>
        </w:rPr>
      </w:pPr>
    </w:p>
    <w:p>
      <w:pPr>
        <w:spacing w:line="360" w:lineRule="auto"/>
        <w:rPr>
          <w:rFonts w:ascii="宋体" w:hAnsi="宋体"/>
          <w:snapToGrid w:val="0"/>
          <w:color w:val="auto"/>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（签字或盖章）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pPr>
        <w:tabs>
          <w:tab w:val="left" w:pos="7140"/>
          <w:tab w:val="left" w:pos="7560"/>
          <w:tab w:val="left" w:pos="8300"/>
        </w:tabs>
        <w:autoSpaceDE w:val="0"/>
        <w:autoSpaceDN w:val="0"/>
        <w:adjustRightInd w:val="0"/>
        <w:spacing w:line="360" w:lineRule="auto"/>
        <w:ind w:right="210"/>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649" w:name="_Toc430530532"/>
      <w:bookmarkStart w:id="650" w:name="_Toc287620816"/>
      <w:bookmarkStart w:id="651" w:name="_Toc277082645"/>
      <w:bookmarkStart w:id="652" w:name="_Toc287607869"/>
      <w:bookmarkStart w:id="653" w:name="_Toc224103497"/>
      <w:r>
        <w:rPr>
          <w:rFonts w:ascii="宋体" w:hAnsi="宋体"/>
          <w:snapToGrid w:val="0"/>
          <w:color w:val="auto"/>
          <w:kern w:val="0"/>
          <w:sz w:val="32"/>
          <w:szCs w:val="32"/>
          <w:highlight w:val="none"/>
        </w:rPr>
        <w:t>（三）法定代表人身份证明及授权委托书</w:t>
      </w:r>
      <w:bookmarkEnd w:id="649"/>
      <w:bookmarkEnd w:id="650"/>
      <w:bookmarkEnd w:id="651"/>
      <w:bookmarkEnd w:id="652"/>
      <w:bookmarkEnd w:id="653"/>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pStyle w:val="2"/>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 xml:space="preserve">       附：法定代表人身份证明复印件（双面）</w:t>
      </w:r>
    </w:p>
    <w:p>
      <w:pPr>
        <w:pStyle w:val="2"/>
        <w:rPr>
          <w:rFonts w:hint="default" w:eastAsia="宋体"/>
          <w:color w:val="auto"/>
          <w:highlight w:val="none"/>
          <w:lang w:val="en-US" w:eastAsia="zh-CN"/>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p>
    <w:p>
      <w:pPr>
        <w:autoSpaceDE w:val="0"/>
        <w:autoSpaceDN w:val="0"/>
        <w:adjustRightInd w:val="0"/>
        <w:snapToGrid w:val="0"/>
        <w:spacing w:line="480" w:lineRule="auto"/>
        <w:ind w:firstLine="772" w:firstLineChars="386"/>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 名）为我方代理人。代理人根据授权，以我方名义签署、澄清、说明、补正、递交、撤回、 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hint="default" w:eastAsia="宋体"/>
          <w:color w:val="auto"/>
          <w:highlight w:val="none"/>
          <w:lang w:val="en-US" w:eastAsia="zh-CN"/>
        </w:rPr>
      </w:pPr>
      <w:r>
        <w:rPr>
          <w:rFonts w:ascii="宋体" w:hAnsi="宋体"/>
          <w:color w:val="auto"/>
          <w:kern w:val="0"/>
          <w:szCs w:val="21"/>
          <w:highlight w:val="none"/>
        </w:rPr>
        <w:t>代理人无转委托权。</w:t>
      </w:r>
    </w:p>
    <w:p>
      <w:pPr>
        <w:autoSpaceDE w:val="0"/>
        <w:autoSpaceDN w:val="0"/>
        <w:adjustRightInd w:val="0"/>
        <w:snapToGrid w:val="0"/>
        <w:spacing w:line="480" w:lineRule="auto"/>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pPr>
        <w:pStyle w:val="2"/>
        <w:rPr>
          <w:color w:val="auto"/>
          <w:highlight w:val="none"/>
        </w:rPr>
      </w:pPr>
    </w:p>
    <w:p>
      <w:pPr>
        <w:pStyle w:val="56"/>
        <w:rPr>
          <w:color w:val="auto"/>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tabs>
          <w:tab w:val="left" w:pos="7140"/>
          <w:tab w:val="left" w:pos="7560"/>
          <w:tab w:val="left" w:pos="8300"/>
        </w:tabs>
        <w:autoSpaceDE w:val="0"/>
        <w:autoSpaceDN w:val="0"/>
        <w:adjustRightInd w:val="0"/>
        <w:spacing w:line="360" w:lineRule="auto"/>
        <w:ind w:right="210"/>
        <w:jc w:val="center"/>
        <w:rPr>
          <w:rFonts w:hint="eastAsia" w:ascii="宋体" w:hAnsi="宋体"/>
          <w:snapToGrid w:val="0"/>
          <w:color w:val="auto"/>
          <w:kern w:val="0"/>
          <w:sz w:val="32"/>
          <w:szCs w:val="32"/>
          <w:highlight w:val="none"/>
        </w:rPr>
      </w:pPr>
      <w:bookmarkStart w:id="654" w:name="_Toc287607872"/>
      <w:bookmarkStart w:id="655" w:name="_Toc430530534"/>
      <w:bookmarkStart w:id="656" w:name="_Toc287620819"/>
      <w:bookmarkStart w:id="657" w:name="_Toc224103500"/>
      <w:r>
        <w:rPr>
          <w:rFonts w:hint="eastAsia" w:ascii="宋体" w:hAnsi="宋体"/>
          <w:snapToGrid w:val="0"/>
          <w:color w:val="auto"/>
          <w:kern w:val="0"/>
          <w:sz w:val="32"/>
          <w:szCs w:val="32"/>
          <w:highlight w:val="none"/>
          <w:lang w:eastAsia="zh-CN"/>
        </w:rPr>
        <w:t>（四）</w:t>
      </w:r>
      <w:r>
        <w:rPr>
          <w:rFonts w:hint="eastAsia" w:ascii="宋体" w:hAnsi="宋体"/>
          <w:snapToGrid w:val="0"/>
          <w:color w:val="auto"/>
          <w:kern w:val="0"/>
          <w:sz w:val="32"/>
          <w:szCs w:val="32"/>
          <w:highlight w:val="none"/>
        </w:rPr>
        <w:t>低价风险担保缴纳承诺书（如有）</w:t>
      </w:r>
    </w:p>
    <w:p>
      <w:pPr>
        <w:autoSpaceDE w:val="0"/>
        <w:autoSpaceDN w:val="0"/>
        <w:adjustRightInd w:val="0"/>
        <w:snapToGrid w:val="0"/>
        <w:spacing w:line="360" w:lineRule="auto"/>
        <w:jc w:val="center"/>
        <w:rPr>
          <w:rFonts w:hint="eastAsia" w:ascii="宋体" w:hAnsi="宋体"/>
          <w:snapToGrid w:val="0"/>
          <w:kern w:val="0"/>
          <w:sz w:val="28"/>
          <w:szCs w:val="28"/>
        </w:rPr>
      </w:pPr>
      <w:r>
        <w:rPr>
          <w:rFonts w:hint="eastAsia" w:ascii="宋体" w:hAnsi="宋体"/>
          <w:snapToGrid w:val="0"/>
          <w:kern w:val="0"/>
          <w:sz w:val="28"/>
          <w:szCs w:val="28"/>
        </w:rPr>
        <w:t>（</w:t>
      </w:r>
      <w:r>
        <w:rPr>
          <w:rFonts w:hint="eastAsia" w:ascii="宋体" w:hAnsi="宋体"/>
          <w:snapToGrid w:val="0"/>
          <w:kern w:val="0"/>
          <w:sz w:val="28"/>
          <w:szCs w:val="28"/>
          <w:lang w:eastAsia="zh-CN"/>
        </w:rPr>
        <w:t>投标</w:t>
      </w:r>
      <w:r>
        <w:rPr>
          <w:rFonts w:hint="eastAsia" w:ascii="宋体" w:hAnsi="宋体"/>
          <w:snapToGrid w:val="0"/>
          <w:kern w:val="0"/>
          <w:sz w:val="28"/>
          <w:szCs w:val="28"/>
        </w:rPr>
        <w:t>报价低于</w:t>
      </w:r>
      <w:r>
        <w:rPr>
          <w:rFonts w:hint="eastAsia" w:ascii="宋体" w:hAnsi="宋体"/>
          <w:snapToGrid w:val="0"/>
          <w:kern w:val="0"/>
          <w:sz w:val="28"/>
          <w:szCs w:val="28"/>
          <w:lang w:eastAsia="zh-CN"/>
        </w:rPr>
        <w:t>比选</w:t>
      </w:r>
      <w:r>
        <w:rPr>
          <w:rFonts w:hint="eastAsia" w:ascii="宋体" w:hAnsi="宋体"/>
          <w:snapToGrid w:val="0"/>
          <w:kern w:val="0"/>
          <w:sz w:val="28"/>
          <w:szCs w:val="28"/>
        </w:rPr>
        <w:t>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eastAsia="zh-CN"/>
        </w:rPr>
        <w:t>投标</w:t>
      </w:r>
      <w:r>
        <w:rPr>
          <w:rFonts w:hint="eastAsia" w:ascii="宋体" w:hAnsi="宋体" w:cs="宋体"/>
          <w:snapToGrid w:val="0"/>
          <w:kern w:val="0"/>
          <w:szCs w:val="21"/>
          <w:u w:val="single"/>
        </w:rPr>
        <w:t>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w:t>
      </w:r>
      <w:r>
        <w:rPr>
          <w:rFonts w:hint="eastAsia" w:ascii="宋体" w:hAnsi="宋体" w:cs="宋体"/>
          <w:snapToGrid w:val="0"/>
          <w:kern w:val="0"/>
          <w:szCs w:val="21"/>
          <w:lang w:eastAsia="zh-CN"/>
        </w:rPr>
        <w:t>投标</w:t>
      </w:r>
      <w:r>
        <w:rPr>
          <w:rFonts w:hint="eastAsia" w:ascii="宋体" w:hAnsi="宋体" w:cs="宋体"/>
          <w:snapToGrid w:val="0"/>
          <w:kern w:val="0"/>
          <w:szCs w:val="21"/>
        </w:rPr>
        <w:t>报价低于最高限价的85%，若获得中标资格，我公司承诺按照比选文件的规定递交低价风险担保。否则，我公司愿承担比选文件中约定的，因未按规定递交低价风险担保的相应责任。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hint="eastAsia" w:ascii="宋体" w:hAnsi="宋体" w:cs="宋体"/>
          <w:snapToGrid w:val="0"/>
          <w:kern w:val="0"/>
          <w:sz w:val="32"/>
          <w:szCs w:val="32"/>
        </w:rPr>
      </w:pPr>
    </w:p>
    <w:p>
      <w:pPr>
        <w:autoSpaceDE w:val="0"/>
        <w:autoSpaceDN w:val="0"/>
        <w:adjustRightInd w:val="0"/>
        <w:snapToGrid w:val="0"/>
        <w:spacing w:line="360" w:lineRule="auto"/>
        <w:ind w:firstLine="640"/>
        <w:rPr>
          <w:rFonts w:hint="eastAsia"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lang w:eastAsia="zh-CN"/>
        </w:rPr>
        <w:t>投</w:t>
      </w:r>
      <w:r>
        <w:rPr>
          <w:rFonts w:hint="eastAsia" w:ascii="宋体" w:hAnsi="宋体"/>
          <w:kern w:val="0"/>
          <w:szCs w:val="21"/>
          <w:lang w:val="en-US" w:eastAsia="zh-CN"/>
        </w:rPr>
        <w:t xml:space="preserve">  </w:t>
      </w:r>
      <w:r>
        <w:rPr>
          <w:rFonts w:hint="eastAsia" w:ascii="宋体" w:hAnsi="宋体"/>
          <w:kern w:val="0"/>
          <w:szCs w:val="21"/>
          <w:lang w:eastAsia="zh-CN"/>
        </w:rPr>
        <w:t>标</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pPr>
        <w:tabs>
          <w:tab w:val="left" w:pos="7140"/>
          <w:tab w:val="left" w:pos="7560"/>
          <w:tab w:val="left" w:pos="8300"/>
        </w:tabs>
        <w:autoSpaceDE w:val="0"/>
        <w:autoSpaceDN w:val="0"/>
        <w:adjustRightInd w:val="0"/>
        <w:ind w:firstLine="420" w:firstLineChars="200"/>
        <w:rPr>
          <w:rFonts w:ascii="宋体" w:hAnsi="宋体"/>
          <w:snapToGrid w:val="0"/>
          <w:kern w:val="0"/>
          <w:szCs w:val="21"/>
        </w:rPr>
      </w:pPr>
    </w:p>
    <w:p>
      <w:pPr>
        <w:pStyle w:val="2"/>
        <w:jc w:val="center"/>
        <w:rPr>
          <w:rFonts w:hint="eastAsia" w:ascii="宋体" w:hAnsi="宋体"/>
          <w:b w:val="0"/>
          <w:bCs w:val="0"/>
          <w:color w:val="auto"/>
          <w:sz w:val="44"/>
          <w:szCs w:val="44"/>
          <w:highlight w:val="none"/>
          <w:lang w:val="en-US" w:eastAsia="zh-CN"/>
        </w:rPr>
      </w:pP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bookmarkStart w:id="658" w:name="_Toc41900075"/>
      <w:bookmarkStart w:id="659" w:name="_Toc21713"/>
    </w:p>
    <w:p>
      <w:pPr>
        <w:pStyle w:val="4"/>
        <w:spacing w:line="360" w:lineRule="auto"/>
        <w:jc w:val="both"/>
        <w:rPr>
          <w:rFonts w:hint="eastAsia" w:ascii="宋体" w:hAnsi="宋体"/>
          <w:b w:val="0"/>
          <w:bCs w:val="0"/>
          <w:color w:val="auto"/>
          <w:sz w:val="44"/>
          <w:szCs w:val="44"/>
          <w:highlight w:val="none"/>
          <w:lang w:val="en-US" w:eastAsia="zh-CN"/>
        </w:rPr>
      </w:pPr>
    </w:p>
    <w:p>
      <w:pPr>
        <w:pStyle w:val="4"/>
        <w:spacing w:line="360" w:lineRule="auto"/>
        <w:jc w:val="center"/>
        <w:rPr>
          <w:rFonts w:hint="eastAsia" w:ascii="宋体" w:hAnsi="宋体"/>
          <w:b w:val="0"/>
          <w:bCs w:val="0"/>
          <w:color w:val="auto"/>
          <w:sz w:val="44"/>
          <w:szCs w:val="44"/>
          <w:highlight w:val="none"/>
          <w:lang w:val="en-US" w:eastAsia="zh-CN"/>
        </w:rPr>
      </w:pPr>
    </w:p>
    <w:p>
      <w:pPr>
        <w:pStyle w:val="4"/>
        <w:spacing w:line="360" w:lineRule="auto"/>
        <w:jc w:val="center"/>
        <w:rPr>
          <w:rFonts w:hint="eastAsia" w:ascii="宋体" w:hAnsi="宋体"/>
          <w:b w:val="0"/>
          <w:bCs w:val="0"/>
          <w:color w:val="auto"/>
          <w:sz w:val="44"/>
          <w:szCs w:val="44"/>
          <w:highlight w:val="none"/>
          <w:lang w:val="en-US" w:eastAsia="zh-CN"/>
        </w:rPr>
      </w:pPr>
    </w:p>
    <w:p>
      <w:pPr>
        <w:pStyle w:val="4"/>
        <w:spacing w:line="360" w:lineRule="auto"/>
        <w:jc w:val="center"/>
        <w:rPr>
          <w:rFonts w:hint="eastAsia" w:ascii="宋体" w:hAnsi="宋体"/>
          <w:b w:val="0"/>
          <w:bCs w:val="0"/>
          <w:color w:val="auto"/>
          <w:sz w:val="44"/>
          <w:szCs w:val="44"/>
          <w:highlight w:val="none"/>
          <w:lang w:val="en-US" w:eastAsia="zh-CN"/>
        </w:rPr>
      </w:pPr>
    </w:p>
    <w:p>
      <w:pPr>
        <w:rPr>
          <w:rFonts w:hint="eastAsia"/>
          <w:lang w:val="en-US" w:eastAsia="zh-CN"/>
        </w:rPr>
      </w:pPr>
    </w:p>
    <w:p>
      <w:pPr>
        <w:pStyle w:val="4"/>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、商务部分</w:t>
      </w:r>
      <w:bookmarkEnd w:id="654"/>
      <w:bookmarkEnd w:id="655"/>
      <w:bookmarkEnd w:id="656"/>
      <w:bookmarkEnd w:id="657"/>
      <w:bookmarkEnd w:id="658"/>
      <w:bookmarkEnd w:id="659"/>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[目录由投标人自行编制]</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660" w:name="_Toc224103501"/>
      <w:bookmarkStart w:id="661" w:name="_Toc430530535"/>
      <w:bookmarkStart w:id="662" w:name="_Toc287620820"/>
      <w:bookmarkStart w:id="663" w:name="_Toc277082648"/>
      <w:bookmarkStart w:id="664" w:name="_Toc287607873"/>
    </w:p>
    <w:p>
      <w:pPr>
        <w:jc w:val="center"/>
        <w:rPr>
          <w:rFonts w:ascii="宋体" w:hAnsi="宋体"/>
          <w:color w:val="auto"/>
          <w:sz w:val="32"/>
          <w:szCs w:val="32"/>
          <w:highlight w:val="none"/>
        </w:rPr>
      </w:pPr>
      <w:r>
        <w:rPr>
          <w:rFonts w:hint="eastAsia" w:ascii="宋体" w:hAnsi="宋体"/>
          <w:color w:val="auto"/>
          <w:sz w:val="32"/>
          <w:szCs w:val="32"/>
          <w:highlight w:val="none"/>
        </w:rPr>
        <w:t>已标价工程量清单</w:t>
      </w:r>
      <w:bookmarkEnd w:id="660"/>
      <w:bookmarkEnd w:id="661"/>
      <w:bookmarkEnd w:id="662"/>
      <w:bookmarkEnd w:id="663"/>
      <w:bookmarkEnd w:id="664"/>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autoSpaceDE w:val="0"/>
        <w:autoSpaceDN w:val="0"/>
        <w:adjustRightInd w:val="0"/>
        <w:snapToGrid w:val="0"/>
        <w:spacing w:line="360" w:lineRule="auto"/>
        <w:jc w:val="center"/>
        <w:rPr>
          <w:rFonts w:ascii="宋体" w:hAnsi="宋体"/>
          <w:b/>
          <w:bCs/>
          <w:color w:val="auto"/>
          <w:sz w:val="44"/>
          <w:szCs w:val="44"/>
          <w:highlight w:val="none"/>
        </w:rPr>
      </w:pPr>
      <w:bookmarkStart w:id="665" w:name="_Toc287607874"/>
      <w:bookmarkStart w:id="666" w:name="_Toc287620821"/>
      <w:bookmarkStart w:id="667" w:name="_Toc224103502"/>
      <w:bookmarkStart w:id="668" w:name="_Toc430530536"/>
      <w:r>
        <w:rPr>
          <w:rFonts w:ascii="宋体" w:hAnsi="宋体"/>
          <w:color w:val="auto"/>
          <w:highlight w:val="none"/>
        </w:rPr>
        <w:br w:type="page"/>
      </w:r>
      <w:bookmarkEnd w:id="665"/>
      <w:bookmarkEnd w:id="666"/>
      <w:bookmarkEnd w:id="667"/>
      <w:bookmarkEnd w:id="668"/>
      <w:bookmarkStart w:id="669" w:name="_Toc287620829"/>
      <w:bookmarkStart w:id="670" w:name="_Toc287607882"/>
      <w:bookmarkStart w:id="671" w:name="_Toc430530545"/>
      <w:bookmarkStart w:id="672" w:name="_Toc277082656"/>
      <w:bookmarkStart w:id="673" w:name="_Toc224103510"/>
      <w:r>
        <w:rPr>
          <w:rFonts w:hint="eastAsia" w:ascii="宋体" w:hAnsi="宋体"/>
          <w:color w:val="auto"/>
          <w:sz w:val="44"/>
          <w:szCs w:val="44"/>
          <w:highlight w:val="none"/>
          <w:lang w:val="en-US" w:eastAsia="zh-CN"/>
        </w:rPr>
        <w:t>三</w:t>
      </w:r>
      <w:r>
        <w:rPr>
          <w:rFonts w:hint="eastAsia" w:ascii="宋体" w:hAnsi="宋体"/>
          <w:b/>
          <w:bCs/>
          <w:color w:val="auto"/>
          <w:sz w:val="44"/>
          <w:szCs w:val="44"/>
          <w:highlight w:val="none"/>
        </w:rPr>
        <w:t>、</w:t>
      </w:r>
      <w:bookmarkEnd w:id="669"/>
      <w:bookmarkEnd w:id="670"/>
      <w:bookmarkEnd w:id="671"/>
      <w:bookmarkEnd w:id="672"/>
      <w:bookmarkEnd w:id="673"/>
      <w:r>
        <w:rPr>
          <w:rFonts w:hint="eastAsia" w:ascii="宋体" w:hAnsi="宋体"/>
          <w:b/>
          <w:bCs/>
          <w:color w:val="auto"/>
          <w:sz w:val="44"/>
          <w:szCs w:val="44"/>
          <w:highlight w:val="none"/>
        </w:rPr>
        <w:t>资格审查部分</w:t>
      </w:r>
    </w:p>
    <w:p>
      <w:pPr>
        <w:adjustRightInd w:val="0"/>
        <w:snapToGrid w:val="0"/>
        <w:spacing w:line="360" w:lineRule="auto"/>
        <w:rPr>
          <w:rFonts w:ascii="宋体" w:hAnsi="宋体"/>
          <w:color w:val="auto"/>
          <w:sz w:val="32"/>
          <w:szCs w:val="32"/>
          <w:highlight w:val="none"/>
        </w:rPr>
      </w:pPr>
    </w:p>
    <w:p>
      <w:pPr>
        <w:adjustRightInd w:val="0"/>
        <w:snapToGrid w:val="0"/>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r>
        <w:rPr>
          <w:rFonts w:ascii="宋体" w:hAnsi="宋体"/>
          <w:color w:val="auto"/>
          <w:sz w:val="32"/>
          <w:szCs w:val="32"/>
          <w:highlight w:val="none"/>
        </w:rPr>
        <w:br w:type="page"/>
      </w:r>
    </w:p>
    <w:p>
      <w:pPr>
        <w:pStyle w:val="2"/>
        <w:rPr>
          <w:color w:val="auto"/>
          <w:highlight w:val="none"/>
        </w:rPr>
      </w:pP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（一）法定代表人身份证明及授权委托书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（二）投标人基本情况表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三</w:t>
      </w:r>
      <w:r>
        <w:rPr>
          <w:rFonts w:ascii="宋体" w:hAnsi="宋体"/>
          <w:color w:val="auto"/>
          <w:szCs w:val="21"/>
          <w:highlight w:val="none"/>
        </w:rPr>
        <w:t>）项目管理机构</w:t>
      </w:r>
    </w:p>
    <w:p>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w:t>
      </w:r>
      <w:r>
        <w:rPr>
          <w:rFonts w:hint="eastAsia" w:ascii="宋体" w:hAnsi="宋体"/>
          <w:color w:val="auto"/>
          <w:szCs w:val="21"/>
          <w:highlight w:val="none"/>
        </w:rPr>
        <w:t>四</w:t>
      </w:r>
      <w:r>
        <w:rPr>
          <w:rFonts w:ascii="宋体" w:hAnsi="宋体"/>
          <w:color w:val="auto"/>
          <w:szCs w:val="21"/>
          <w:highlight w:val="none"/>
        </w:rPr>
        <w:t>）</w:t>
      </w:r>
      <w:r>
        <w:rPr>
          <w:rFonts w:hint="eastAsia" w:ascii="宋体" w:hAnsi="宋体"/>
          <w:color w:val="auto"/>
          <w:szCs w:val="21"/>
          <w:highlight w:val="none"/>
          <w:lang w:val="en-US" w:eastAsia="zh-CN"/>
        </w:rPr>
        <w:t>承诺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五</w:t>
      </w:r>
      <w:r>
        <w:rPr>
          <w:rFonts w:ascii="宋体" w:hAnsi="宋体"/>
          <w:color w:val="auto"/>
          <w:szCs w:val="21"/>
          <w:highlight w:val="none"/>
        </w:rPr>
        <w:t>）其他资料</w:t>
      </w:r>
    </w:p>
    <w:p>
      <w:pPr>
        <w:spacing w:line="360" w:lineRule="auto"/>
        <w:jc w:val="center"/>
        <w:rPr>
          <w:rFonts w:ascii="宋体" w:hAnsi="宋体"/>
          <w:b/>
          <w:color w:val="auto"/>
          <w:kern w:val="0"/>
          <w:sz w:val="32"/>
          <w:szCs w:val="32"/>
          <w:highlight w:val="none"/>
        </w:rPr>
      </w:pPr>
    </w:p>
    <w:p>
      <w:pPr>
        <w:spacing w:line="360" w:lineRule="auto"/>
        <w:jc w:val="center"/>
        <w:rPr>
          <w:rFonts w:ascii="宋体" w:hAnsi="宋体"/>
          <w:b/>
          <w:color w:val="auto"/>
          <w:kern w:val="0"/>
          <w:sz w:val="32"/>
          <w:szCs w:val="32"/>
          <w:highlight w:val="none"/>
        </w:rPr>
      </w:pPr>
    </w:p>
    <w:p>
      <w:pPr>
        <w:pStyle w:val="5"/>
        <w:spacing w:before="0" w:after="0" w:line="240" w:lineRule="auto"/>
        <w:jc w:val="center"/>
        <w:rPr>
          <w:rFonts w:ascii="宋体" w:hAnsi="宋体"/>
          <w:color w:val="auto"/>
          <w:sz w:val="36"/>
          <w:szCs w:val="36"/>
          <w:highlight w:val="none"/>
        </w:rPr>
      </w:pPr>
      <w:r>
        <w:rPr>
          <w:rFonts w:ascii="宋体" w:hAnsi="宋体"/>
          <w:color w:val="auto"/>
          <w:highlight w:val="none"/>
        </w:rPr>
        <w:br w:type="page"/>
      </w:r>
      <w:bookmarkStart w:id="674" w:name="_Toc41900076"/>
      <w:bookmarkStart w:id="675" w:name="_Toc224103511"/>
      <w:bookmarkStart w:id="676" w:name="_Toc277082657"/>
      <w:bookmarkStart w:id="677" w:name="_Toc287607883"/>
      <w:bookmarkStart w:id="678" w:name="_Toc28644"/>
      <w:bookmarkStart w:id="679" w:name="_Toc430530546"/>
      <w:bookmarkStart w:id="680" w:name="_Toc287620830"/>
      <w:r>
        <w:rPr>
          <w:rFonts w:hint="eastAsia" w:ascii="宋体" w:hAnsi="宋体"/>
          <w:b w:val="0"/>
          <w:bCs w:val="0"/>
          <w:color w:val="auto"/>
          <w:highlight w:val="none"/>
        </w:rPr>
        <w:t>（一）法定代表人身份证明及授权委托书</w:t>
      </w:r>
      <w:bookmarkEnd w:id="674"/>
      <w:bookmarkEnd w:id="675"/>
      <w:bookmarkEnd w:id="676"/>
      <w:bookmarkEnd w:id="677"/>
      <w:bookmarkEnd w:id="678"/>
      <w:bookmarkEnd w:id="679"/>
      <w:bookmarkEnd w:id="680"/>
    </w:p>
    <w:p>
      <w:pPr>
        <w:jc w:val="center"/>
        <w:rPr>
          <w:rFonts w:ascii="宋体" w:hAnsi="宋体"/>
          <w:b/>
          <w:color w:val="auto"/>
          <w:sz w:val="28"/>
          <w:highlight w:val="none"/>
        </w:rPr>
      </w:pPr>
    </w:p>
    <w:p>
      <w:pPr>
        <w:jc w:val="center"/>
        <w:rPr>
          <w:rFonts w:ascii="宋体" w:hAnsi="宋体"/>
          <w:b/>
          <w:color w:val="auto"/>
          <w:sz w:val="28"/>
          <w:highlight w:val="none"/>
        </w:rPr>
      </w:pPr>
    </w:p>
    <w:p>
      <w:pPr>
        <w:spacing w:line="360" w:lineRule="auto"/>
        <w:jc w:val="center"/>
        <w:rPr>
          <w:rFonts w:ascii="宋体" w:hAnsi="宋体"/>
          <w:color w:val="auto"/>
          <w:highlight w:val="none"/>
        </w:rPr>
      </w:pPr>
      <w:r>
        <w:rPr>
          <w:rFonts w:hint="eastAsia" w:ascii="宋体" w:hAnsi="宋体"/>
          <w:color w:val="auto"/>
          <w:sz w:val="28"/>
          <w:highlight w:val="none"/>
        </w:rPr>
        <w:t>法定代表人身份证明</w:t>
      </w:r>
    </w:p>
    <w:p>
      <w:pPr>
        <w:jc w:val="center"/>
        <w:rPr>
          <w:rFonts w:ascii="宋体" w:hAnsi="宋体"/>
          <w:b/>
          <w:color w:val="auto"/>
          <w:sz w:val="28"/>
          <w:highlight w:val="none"/>
        </w:rPr>
      </w:pPr>
    </w:p>
    <w:p>
      <w:pPr>
        <w:jc w:val="center"/>
        <w:rPr>
          <w:rFonts w:ascii="宋体" w:hAnsi="宋体"/>
          <w:b/>
          <w:color w:val="auto"/>
          <w:sz w:val="28"/>
          <w:highlight w:val="none"/>
        </w:rPr>
      </w:pPr>
    </w:p>
    <w:p>
      <w:pPr>
        <w:tabs>
          <w:tab w:val="left" w:pos="556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单位性质：</w:t>
      </w:r>
      <w:r>
        <w:rPr>
          <w:rFonts w:hint="eastAsia" w:ascii="宋体" w:hAnsi="宋体"/>
          <w:color w:val="auto"/>
          <w:kern w:val="0"/>
          <w:szCs w:val="21"/>
          <w:highlight w:val="none"/>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hint="eastAsia" w:ascii="宋体" w:hAnsi="宋体"/>
          <w:color w:val="auto"/>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420" w:firstLineChars="200"/>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经营期限：</w:t>
      </w:r>
      <w:r>
        <w:rPr>
          <w:rFonts w:hint="eastAsia" w:ascii="宋体" w:hAnsi="宋体"/>
          <w:color w:val="auto"/>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姓名：</w:t>
      </w:r>
      <w:r>
        <w:rPr>
          <w:rFonts w:hint="eastAsia" w:ascii="宋体" w:hAnsi="宋体"/>
          <w:color w:val="auto"/>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pStyle w:val="2"/>
        <w:rPr>
          <w:rFonts w:hint="default" w:eastAsia="宋体"/>
          <w:color w:val="auto"/>
          <w:highlight w:val="none"/>
          <w:lang w:val="en-US" w:eastAsia="zh-CN"/>
        </w:rPr>
      </w:pPr>
      <w:r>
        <w:rPr>
          <w:rFonts w:hint="eastAsia" w:ascii="宋体" w:hAnsi="宋体"/>
          <w:color w:val="auto"/>
          <w:kern w:val="0"/>
          <w:szCs w:val="21"/>
          <w:highlight w:val="none"/>
          <w:lang w:val="en-US" w:eastAsia="zh-CN"/>
        </w:rPr>
        <w:t xml:space="preserve">       附：法定代表人身份证明复印件（双面）</w:t>
      </w: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6195"/>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spacing w:val="-1"/>
          <w:kern w:val="0"/>
          <w:szCs w:val="21"/>
          <w:highlight w:val="none"/>
        </w:rPr>
        <w:t>年</w:t>
      </w:r>
      <w:r>
        <w:rPr>
          <w:rFonts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jc w:val="center"/>
        <w:rPr>
          <w:rFonts w:ascii="宋体" w:hAnsi="宋体"/>
          <w:b/>
          <w:color w:val="auto"/>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rPr>
          <w:rFonts w:ascii="宋体" w:hAnsi="宋体"/>
          <w:b/>
          <w:color w:val="auto"/>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注：法定代表人身份证明需按上述格式填写完整，不可缺少内容。在此基础上增加内容的不影响其有效性。</w:t>
      </w:r>
    </w:p>
    <w:p>
      <w:pPr>
        <w:autoSpaceDE w:val="0"/>
        <w:autoSpaceDN w:val="0"/>
        <w:adjustRightInd w:val="0"/>
        <w:snapToGrid w:val="0"/>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color w:val="auto"/>
          <w:sz w:val="36"/>
          <w:szCs w:val="36"/>
          <w:highlight w:val="none"/>
        </w:rPr>
        <w:t>授权委托书</w:t>
      </w:r>
    </w:p>
    <w:p>
      <w:pPr>
        <w:autoSpaceDE w:val="0"/>
        <w:autoSpaceDN w:val="0"/>
        <w:adjustRightInd w:val="0"/>
        <w:snapToGrid w:val="0"/>
        <w:spacing w:line="480" w:lineRule="auto"/>
        <w:ind w:firstLine="400" w:firstLineChars="200"/>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 名）为我方代理人。代理人根据授权，以我方名义签署、澄清、说明、补正、递交、撤回、 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代理人无转委托权。</w:t>
      </w:r>
    </w:p>
    <w:p>
      <w:pPr>
        <w:autoSpaceDE w:val="0"/>
        <w:autoSpaceDN w:val="0"/>
        <w:adjustRightInd w:val="0"/>
        <w:snapToGrid w:val="0"/>
        <w:spacing w:line="480" w:lineRule="auto"/>
        <w:ind w:firstLine="240" w:firstLineChars="200"/>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 xml:space="preserve">） </w:t>
      </w:r>
    </w:p>
    <w:p>
      <w:pPr>
        <w:tabs>
          <w:tab w:val="left" w:pos="619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u w:val="single"/>
        </w:rPr>
        <w:tab/>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p>
    <w:p>
      <w:pPr>
        <w:tabs>
          <w:tab w:val="left" w:pos="724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735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pPr>
        <w:pStyle w:val="56"/>
        <w:ind w:left="0" w:leftChars="0" w:firstLine="0" w:firstLineChars="0"/>
        <w:rPr>
          <w:color w:val="auto"/>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pStyle w:val="2"/>
        <w:rPr>
          <w:rFonts w:ascii="宋体" w:hAnsi="宋体"/>
          <w:color w:val="auto"/>
          <w:kern w:val="0"/>
          <w:sz w:val="20"/>
          <w:szCs w:val="20"/>
          <w:highlight w:val="none"/>
        </w:rPr>
      </w:pPr>
    </w:p>
    <w:p>
      <w:pPr>
        <w:pStyle w:val="56"/>
        <w:rPr>
          <w:color w:val="auto"/>
          <w:highlight w:val="none"/>
        </w:rPr>
      </w:pPr>
    </w:p>
    <w:p>
      <w:pPr>
        <w:autoSpaceDE w:val="0"/>
        <w:autoSpaceDN w:val="0"/>
        <w:adjustRightInd w:val="0"/>
        <w:snapToGrid w:val="0"/>
        <w:spacing w:line="360" w:lineRule="auto"/>
        <w:jc w:val="right"/>
        <w:rPr>
          <w:rFonts w:ascii="宋体" w:hAnsi="宋体"/>
          <w:color w:val="auto"/>
          <w:kern w:val="0"/>
          <w:highlight w:val="none"/>
        </w:rPr>
      </w:pP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rPr>
        <w:t>日</w:t>
      </w:r>
    </w:p>
    <w:p>
      <w:pPr>
        <w:autoSpaceDE w:val="0"/>
        <w:autoSpaceDN w:val="0"/>
        <w:adjustRightInd w:val="0"/>
        <w:snapToGrid w:val="0"/>
        <w:spacing w:line="480" w:lineRule="auto"/>
        <w:jc w:val="left"/>
        <w:rPr>
          <w:rFonts w:ascii="宋体" w:hAnsi="宋体"/>
          <w:color w:val="auto"/>
          <w:kern w:val="0"/>
          <w:sz w:val="28"/>
          <w:szCs w:val="28"/>
          <w:highlight w:val="none"/>
        </w:rPr>
      </w:pPr>
    </w:p>
    <w:p>
      <w:pPr>
        <w:autoSpaceDE w:val="0"/>
        <w:autoSpaceDN w:val="0"/>
        <w:adjustRightInd w:val="0"/>
        <w:snapToGrid w:val="0"/>
        <w:spacing w:line="360" w:lineRule="auto"/>
        <w:ind w:right="630"/>
        <w:jc w:val="right"/>
        <w:rPr>
          <w:rFonts w:ascii="宋体" w:hAnsi="宋体"/>
          <w:color w:val="auto"/>
          <w:kern w:val="0"/>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148590</wp:posOffset>
                </wp:positionV>
                <wp:extent cx="5647055" cy="0"/>
                <wp:effectExtent l="0" t="0" r="0" b="0"/>
                <wp:wrapNone/>
                <wp:docPr id="10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
                          <a:solidFill>
                            <a:srgbClr val="000000"/>
                          </a:solidFill>
                          <a:round/>
                        </a:ln>
                        <a:effectLst/>
                      </wps:spPr>
                      <wps:bodyPr/>
                    </wps:wsp>
                  </a:graphicData>
                </a:graphic>
              </wp:anchor>
            </w:drawing>
          </mc:Choice>
          <mc:Fallback>
            <w:pict>
              <v:line id="直接连接符 5" o:spid="_x0000_s1026" o:spt="20" style="position:absolute;left:0pt;margin-left:1.55pt;margin-top:11.7pt;height:0pt;width:444.65pt;z-index:251659264;mso-width-relative:page;mso-height-relative:page;" filled="f" stroked="t" coordsize="21600,21600" o:gfxdata="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vw&#10;BnTXAAAABwEAAA8AAAAAAAAAAQAgAAAAIgAAAGRycy9kb3ducmV2LnhtbFBLAQIUABQAAAAIAIdO&#10;4kCCIhsK6wEAALoDAAAOAAAAAAAAAAEAIAAAACYBAABkcnMvZTJvRG9jLnhtbFBLBQYAAAAABgAG&#10;AFkBAACDBQ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pacing w:line="20" w:lineRule="exact"/>
        <w:jc w:val="center"/>
        <w:rPr>
          <w:rFonts w:ascii="宋体" w:hAnsi="宋体"/>
          <w:color w:val="auto"/>
          <w:szCs w:val="21"/>
          <w:highlight w:val="none"/>
        </w:rPr>
      </w:pPr>
      <w:bookmarkStart w:id="681" w:name="_Toc277082659"/>
      <w:bookmarkStart w:id="682" w:name="_Toc287607887"/>
    </w:p>
    <w:p>
      <w:pPr>
        <w:pStyle w:val="5"/>
        <w:spacing w:before="0" w:after="0" w:line="240" w:lineRule="auto"/>
        <w:jc w:val="center"/>
        <w:rPr>
          <w:rFonts w:ascii="宋体" w:hAnsi="宋体"/>
          <w:color w:val="auto"/>
          <w:highlight w:val="none"/>
        </w:rPr>
      </w:pPr>
      <w:r>
        <w:rPr>
          <w:rFonts w:ascii="宋体" w:hAnsi="宋体"/>
          <w:color w:val="auto"/>
          <w:szCs w:val="21"/>
          <w:highlight w:val="none"/>
        </w:rPr>
        <w:br w:type="page"/>
      </w:r>
      <w:bookmarkStart w:id="683" w:name="_Toc41900077"/>
      <w:bookmarkStart w:id="684" w:name="_Toc1481"/>
      <w:r>
        <w:rPr>
          <w:rFonts w:hint="eastAsia" w:ascii="宋体" w:hAnsi="宋体"/>
          <w:b w:val="0"/>
          <w:bCs w:val="0"/>
          <w:color w:val="auto"/>
          <w:highlight w:val="none"/>
        </w:rPr>
        <w:t>（二）投标人基本情况表</w:t>
      </w:r>
      <w:bookmarkEnd w:id="683"/>
      <w:bookmarkEnd w:id="684"/>
    </w:p>
    <w:tbl>
      <w:tblPr>
        <w:tblStyle w:val="45"/>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jc w:val="center"/>
        <w:rPr>
          <w:rFonts w:ascii="宋体" w:hAnsi="宋体"/>
          <w:color w:val="auto"/>
          <w:szCs w:val="21"/>
          <w:highlight w:val="none"/>
        </w:rPr>
      </w:pPr>
    </w:p>
    <w:p>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685" w:name="_Toc41900078"/>
      <w:bookmarkStart w:id="686" w:name="_Toc509218863"/>
      <w:bookmarkStart w:id="687" w:name="_Toc534185840"/>
      <w:bookmarkStart w:id="688" w:name="_Toc13103"/>
      <w:r>
        <w:rPr>
          <w:rFonts w:hint="eastAsia" w:ascii="宋体" w:hAnsi="宋体"/>
          <w:b w:val="0"/>
          <w:bCs w:val="0"/>
          <w:color w:val="auto"/>
          <w:highlight w:val="none"/>
        </w:rPr>
        <w:t>（三）项目管理机构</w:t>
      </w:r>
      <w:bookmarkEnd w:id="685"/>
      <w:bookmarkEnd w:id="686"/>
      <w:bookmarkEnd w:id="687"/>
      <w:bookmarkEnd w:id="688"/>
    </w:p>
    <w:p>
      <w:pPr>
        <w:spacing w:line="360" w:lineRule="auto"/>
        <w:rPr>
          <w:rFonts w:ascii="宋体" w:hAnsi="宋体"/>
          <w:color w:val="auto"/>
          <w:highlight w:val="none"/>
        </w:rPr>
      </w:pPr>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color w:val="auto"/>
                <w:kern w:val="0"/>
                <w:szCs w:val="21"/>
                <w:highlight w:val="none"/>
              </w:rPr>
            </w:pPr>
          </w:p>
        </w:tc>
        <w:tc>
          <w:tcPr>
            <w:tcW w:w="734" w:type="dxa"/>
            <w:vMerge w:val="continue"/>
          </w:tcPr>
          <w:p>
            <w:pPr>
              <w:autoSpaceDE w:val="0"/>
              <w:autoSpaceDN w:val="0"/>
              <w:adjustRightInd w:val="0"/>
              <w:snapToGrid w:val="0"/>
              <w:jc w:val="left"/>
              <w:rPr>
                <w:rFonts w:ascii="宋体" w:hAnsi="宋体"/>
                <w:color w:val="auto"/>
                <w:kern w:val="0"/>
                <w:szCs w:val="21"/>
                <w:highlight w:val="none"/>
              </w:rPr>
            </w:pPr>
          </w:p>
        </w:tc>
        <w:tc>
          <w:tcPr>
            <w:tcW w:w="776" w:type="dxa"/>
            <w:vMerge w:val="continue"/>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主要人员简历表</w:t>
      </w:r>
      <w:bookmarkEnd w:id="681"/>
      <w:bookmarkEnd w:id="682"/>
    </w:p>
    <w:tbl>
      <w:tblPr>
        <w:tblStyle w:val="45"/>
        <w:tblW w:w="956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rPr>
          <w:rFonts w:ascii="宋体" w:hAnsi="宋体"/>
          <w:color w:val="auto"/>
          <w:highlight w:val="none"/>
        </w:rPr>
      </w:pPr>
      <w:bookmarkStart w:id="689" w:name="_Toc224103515"/>
    </w:p>
    <w:bookmarkEnd w:id="689"/>
    <w:p>
      <w:pPr>
        <w:pStyle w:val="5"/>
        <w:spacing w:before="0" w:line="360" w:lineRule="auto"/>
        <w:jc w:val="center"/>
        <w:rPr>
          <w:rFonts w:hint="eastAsia" w:ascii="宋体" w:hAnsi="宋体"/>
          <w:b w:val="0"/>
          <w:color w:val="auto"/>
          <w:highlight w:val="none"/>
        </w:rPr>
      </w:pPr>
      <w:bookmarkStart w:id="690" w:name="_Toc430530552"/>
      <w:bookmarkStart w:id="691" w:name="_Toc277082663"/>
      <w:bookmarkStart w:id="692" w:name="_Toc534185843"/>
      <w:bookmarkStart w:id="693" w:name="_Toc41900079"/>
      <w:bookmarkStart w:id="694" w:name="_Toc224103520"/>
      <w:bookmarkStart w:id="695" w:name="_Toc29200"/>
      <w:bookmarkStart w:id="696" w:name="_Toc287607893"/>
      <w:bookmarkStart w:id="697" w:name="_Toc509218866"/>
      <w:bookmarkStart w:id="698" w:name="_Toc287620839"/>
      <w:r>
        <w:rPr>
          <w:rFonts w:ascii="宋体" w:hAnsi="宋体"/>
          <w:b w:val="0"/>
          <w:color w:val="auto"/>
          <w:highlight w:val="none"/>
        </w:rPr>
        <w:t>（</w:t>
      </w:r>
      <w:r>
        <w:rPr>
          <w:rFonts w:hint="eastAsia" w:ascii="宋体" w:hAnsi="宋体"/>
          <w:b w:val="0"/>
          <w:color w:val="auto"/>
          <w:highlight w:val="none"/>
        </w:rPr>
        <w:t>四</w:t>
      </w:r>
      <w:r>
        <w:rPr>
          <w:rFonts w:ascii="宋体" w:hAnsi="宋体"/>
          <w:b w:val="0"/>
          <w:color w:val="auto"/>
          <w:highlight w:val="none"/>
        </w:rPr>
        <w:t>）</w:t>
      </w:r>
      <w:bookmarkEnd w:id="690"/>
      <w:bookmarkEnd w:id="691"/>
      <w:bookmarkEnd w:id="692"/>
      <w:bookmarkEnd w:id="693"/>
      <w:bookmarkEnd w:id="694"/>
      <w:bookmarkEnd w:id="695"/>
      <w:bookmarkEnd w:id="696"/>
      <w:bookmarkEnd w:id="697"/>
      <w:bookmarkEnd w:id="698"/>
      <w:r>
        <w:rPr>
          <w:rFonts w:hint="eastAsia" w:ascii="宋体" w:hAnsi="宋体"/>
          <w:b w:val="0"/>
          <w:color w:val="auto"/>
          <w:highlight w:val="none"/>
        </w:rPr>
        <w:t>承诺</w:t>
      </w:r>
    </w:p>
    <w:p>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我公司拟派的项目经理中标后只能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我公司拟派的项目经理未被我市住房和城乡建设主管部门暂停在渝承揽新业务，若被暂停且参加投标的投标将被否决；已取得中标候选人资格或中标资格的，</w:t>
      </w:r>
      <w:r>
        <w:rPr>
          <w:rFonts w:hint="eastAsia" w:ascii="宋体" w:hAnsi="宋体"/>
          <w:color w:val="auto"/>
          <w:szCs w:val="21"/>
          <w:highlight w:val="none"/>
          <w:lang w:eastAsia="zh-CN"/>
        </w:rPr>
        <w:t>比选人</w:t>
      </w:r>
      <w:r>
        <w:rPr>
          <w:rFonts w:hint="eastAsia" w:ascii="宋体" w:hAnsi="宋体"/>
          <w:color w:val="auto"/>
          <w:szCs w:val="21"/>
          <w:highlight w:val="none"/>
        </w:rPr>
        <w:t>有权取消其中标候选人资格或中标资格；给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numPr>
          <w:ilvl w:val="0"/>
          <w:numId w:val="4"/>
        </w:numPr>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比选人</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numPr>
          <w:ilvl w:val="0"/>
          <w:numId w:val="4"/>
        </w:numPr>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招标文件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招标时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lang w:eastAsia="zh-CN"/>
        </w:rPr>
        <w:t>比选人</w:t>
      </w:r>
      <w:r>
        <w:rPr>
          <w:rFonts w:hint="eastAsia" w:ascii="宋体" w:hAnsi="宋体"/>
          <w:color w:val="auto"/>
          <w:szCs w:val="21"/>
          <w:highlight w:val="none"/>
        </w:rPr>
        <w:t>在合同签订前均有权对我司提供的资料（如业绩截图信息等相关证明材料）进行核实，若发现弄虚作假，取消中标资格，并按相关法律法规报招标投标监督部门处理，投标保证金不予退还，我司自愿承担因此造成的相关责任并赔偿相应损失。</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6、我公司的投标文件符合第四章 合同条款及格式规定，投标文件中没有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ascii="宋体" w:hAnsi="宋体"/>
          <w:color w:val="auto"/>
          <w:kern w:val="0"/>
          <w:szCs w:val="21"/>
          <w:highlight w:val="none"/>
        </w:rPr>
      </w:pPr>
      <w:r>
        <w:rPr>
          <w:rFonts w:hint="eastAsia" w:ascii="宋体" w:hAnsi="宋体"/>
          <w:color w:val="auto"/>
          <w:szCs w:val="21"/>
          <w:highlight w:val="none"/>
        </w:rPr>
        <w:t>7、我公司的投标文件符合第七章 技术标准和要求（如有）。</w:t>
      </w: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4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4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6300"/>
        </w:tabs>
        <w:autoSpaceDE w:val="0"/>
        <w:autoSpaceDN w:val="0"/>
        <w:adjustRightInd w:val="0"/>
        <w:snapToGrid w:val="0"/>
        <w:ind w:firstLine="420" w:firstLineChars="200"/>
        <w:jc w:val="right"/>
        <w:rPr>
          <w:rFonts w:hint="eastAsia"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pPr>
        <w:pStyle w:val="5"/>
        <w:spacing w:before="0" w:line="360" w:lineRule="auto"/>
        <w:jc w:val="center"/>
        <w:rPr>
          <w:rFonts w:ascii="宋体" w:hAnsi="宋体"/>
          <w:b w:val="0"/>
          <w:color w:val="auto"/>
          <w:highlight w:val="none"/>
        </w:rPr>
      </w:pPr>
      <w:bookmarkStart w:id="699" w:name="_Toc509218867"/>
      <w:bookmarkStart w:id="700" w:name="_Toc12322"/>
      <w:r>
        <w:rPr>
          <w:rFonts w:hint="eastAsia" w:ascii="宋体" w:hAnsi="宋体"/>
          <w:b w:val="0"/>
          <w:color w:val="auto"/>
          <w:highlight w:val="none"/>
        </w:rPr>
        <w:br w:type="page"/>
      </w:r>
      <w:bookmarkEnd w:id="699"/>
      <w:bookmarkEnd w:id="700"/>
      <w:bookmarkStart w:id="701" w:name="_Toc21887"/>
    </w:p>
    <w:p>
      <w:pPr>
        <w:pStyle w:val="5"/>
        <w:spacing w:before="0" w:line="360" w:lineRule="auto"/>
        <w:jc w:val="center"/>
        <w:rPr>
          <w:rFonts w:ascii="宋体" w:hAnsi="宋体"/>
          <w:color w:val="auto"/>
          <w:highlight w:val="none"/>
        </w:rPr>
      </w:pPr>
      <w:bookmarkStart w:id="702" w:name="_Toc41900080"/>
      <w:r>
        <w:rPr>
          <w:rFonts w:hint="eastAsia" w:ascii="宋体" w:hAnsi="宋体"/>
          <w:b w:val="0"/>
          <w:color w:val="auto"/>
          <w:highlight w:val="none"/>
        </w:rPr>
        <w:t>（五）其他资料</w:t>
      </w:r>
      <w:bookmarkEnd w:id="701"/>
      <w:bookmarkEnd w:id="702"/>
    </w:p>
    <w:bookmarkEnd w:id="500"/>
    <w:bookmarkEnd w:id="501"/>
    <w:bookmarkEnd w:id="502"/>
    <w:p>
      <w:pPr>
        <w:rPr>
          <w:rFonts w:ascii="宋体" w:hAnsi="宋体"/>
          <w:b/>
          <w:color w:val="auto"/>
          <w:highlight w:val="none"/>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MingLiUfalt">
    <w:altName w:val="MingLiU-ExtB"/>
    <w:panose1 w:val="00000000000000000000"/>
    <w:charset w:val="88"/>
    <w:family w:val="auto"/>
    <w:pitch w:val="default"/>
    <w:sig w:usb0="00000000" w:usb1="00000000" w:usb2="00000010" w:usb3="00000000" w:csb0="00100000" w:csb1="00000000"/>
  </w:font>
  <w:font w:name="Microsoft Sans Serif">
    <w:panose1 w:val="020B0604020202020204"/>
    <w:charset w:val="00"/>
    <w:family w:val="swiss"/>
    <w:pitch w:val="default"/>
    <w:sig w:usb0="E1002AFF" w:usb1="C0000002" w:usb2="00000008" w:usb3="00000000" w:csb0="200101FF" w:csb1="20280000"/>
  </w:font>
  <w:font w:name="微软雅黑">
    <w:panose1 w:val="020B0503020204020204"/>
    <w:charset w:val="86"/>
    <w:family w:val="auto"/>
    <w:pitch w:val="default"/>
    <w:sig w:usb0="80000287" w:usb1="280F3C52"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16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67217"/>
    <w:multiLevelType w:val="singleLevel"/>
    <w:tmpl w:val="E1567217"/>
    <w:lvl w:ilvl="0" w:tentative="0">
      <w:start w:val="2"/>
      <w:numFmt w:val="chineseCounting"/>
      <w:lvlText w:val="第%1节"/>
      <w:lvlJc w:val="left"/>
      <w:rPr>
        <w:rFonts w:hint="eastAsia"/>
      </w:rPr>
    </w:lvl>
  </w:abstractNum>
  <w:abstractNum w:abstractNumId="1">
    <w:nsid w:val="00000011"/>
    <w:multiLevelType w:val="singleLevel"/>
    <w:tmpl w:val="00000011"/>
    <w:lvl w:ilvl="0" w:tentative="0">
      <w:start w:val="23"/>
      <w:numFmt w:val="decimal"/>
      <w:suff w:val="space"/>
      <w:lvlText w:val="%1."/>
      <w:lvlJc w:val="left"/>
    </w:lvl>
  </w:abstractNum>
  <w:abstractNum w:abstractNumId="2">
    <w:nsid w:val="5C1A73DE"/>
    <w:multiLevelType w:val="singleLevel"/>
    <w:tmpl w:val="5C1A73DE"/>
    <w:lvl w:ilvl="0" w:tentative="0">
      <w:start w:val="1"/>
      <w:numFmt w:val="decimal"/>
      <w:suff w:val="nothing"/>
      <w:lvlText w:val="%1．"/>
      <w:lvlJc w:val="left"/>
    </w:lvl>
  </w:abstractNum>
  <w:abstractNum w:abstractNumId="3">
    <w:nsid w:val="5F471D00"/>
    <w:multiLevelType w:val="singleLevel"/>
    <w:tmpl w:val="5F471D00"/>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OTdkYWI1ZmFjMWUxNWRhNjVjM2I5MGIxMzgzMDkifQ=="/>
  </w:docVars>
  <w:rsids>
    <w:rsidRoot w:val="00172A27"/>
    <w:rsid w:val="00001B1E"/>
    <w:rsid w:val="000027C8"/>
    <w:rsid w:val="00003A3F"/>
    <w:rsid w:val="00005E79"/>
    <w:rsid w:val="000067A3"/>
    <w:rsid w:val="00014DF1"/>
    <w:rsid w:val="00015C9C"/>
    <w:rsid w:val="0001647D"/>
    <w:rsid w:val="0001650A"/>
    <w:rsid w:val="00017D2A"/>
    <w:rsid w:val="00017F2D"/>
    <w:rsid w:val="00021228"/>
    <w:rsid w:val="000215EB"/>
    <w:rsid w:val="0002248F"/>
    <w:rsid w:val="00022747"/>
    <w:rsid w:val="00022F4C"/>
    <w:rsid w:val="00023B7F"/>
    <w:rsid w:val="00024492"/>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2C40"/>
    <w:rsid w:val="0007377C"/>
    <w:rsid w:val="00074445"/>
    <w:rsid w:val="00074926"/>
    <w:rsid w:val="000753AE"/>
    <w:rsid w:val="0007662F"/>
    <w:rsid w:val="00076C46"/>
    <w:rsid w:val="00077788"/>
    <w:rsid w:val="000777DB"/>
    <w:rsid w:val="00081E58"/>
    <w:rsid w:val="00084056"/>
    <w:rsid w:val="00084085"/>
    <w:rsid w:val="000843AE"/>
    <w:rsid w:val="00084AD3"/>
    <w:rsid w:val="00085720"/>
    <w:rsid w:val="00086F23"/>
    <w:rsid w:val="00090828"/>
    <w:rsid w:val="0009092D"/>
    <w:rsid w:val="00090FD7"/>
    <w:rsid w:val="000925AC"/>
    <w:rsid w:val="000927A3"/>
    <w:rsid w:val="00092F8F"/>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1E90"/>
    <w:rsid w:val="000B283B"/>
    <w:rsid w:val="000B3303"/>
    <w:rsid w:val="000B489F"/>
    <w:rsid w:val="000B4C5B"/>
    <w:rsid w:val="000B5039"/>
    <w:rsid w:val="000B55BE"/>
    <w:rsid w:val="000B5C3A"/>
    <w:rsid w:val="000B5E88"/>
    <w:rsid w:val="000B6648"/>
    <w:rsid w:val="000B786B"/>
    <w:rsid w:val="000C00B2"/>
    <w:rsid w:val="000C079C"/>
    <w:rsid w:val="000C0EE5"/>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2179"/>
    <w:rsid w:val="000F278B"/>
    <w:rsid w:val="000F2955"/>
    <w:rsid w:val="000F40C0"/>
    <w:rsid w:val="000F45C8"/>
    <w:rsid w:val="000F4BBE"/>
    <w:rsid w:val="000F50C6"/>
    <w:rsid w:val="000F51EA"/>
    <w:rsid w:val="000F5AD4"/>
    <w:rsid w:val="000F7CF5"/>
    <w:rsid w:val="00100471"/>
    <w:rsid w:val="001013C2"/>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A27"/>
    <w:rsid w:val="00150F2A"/>
    <w:rsid w:val="00151981"/>
    <w:rsid w:val="00152078"/>
    <w:rsid w:val="00152356"/>
    <w:rsid w:val="001534E6"/>
    <w:rsid w:val="00153F38"/>
    <w:rsid w:val="0015532E"/>
    <w:rsid w:val="0015596B"/>
    <w:rsid w:val="00155D1F"/>
    <w:rsid w:val="0016132F"/>
    <w:rsid w:val="0016134A"/>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6D3"/>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E6FF7"/>
    <w:rsid w:val="001F07E9"/>
    <w:rsid w:val="001F0D0C"/>
    <w:rsid w:val="001F234F"/>
    <w:rsid w:val="001F24B9"/>
    <w:rsid w:val="001F31AC"/>
    <w:rsid w:val="001F3815"/>
    <w:rsid w:val="001F3DB0"/>
    <w:rsid w:val="001F3E77"/>
    <w:rsid w:val="001F57A7"/>
    <w:rsid w:val="001F5A67"/>
    <w:rsid w:val="00200EBF"/>
    <w:rsid w:val="00201DC8"/>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37F68"/>
    <w:rsid w:val="0024052C"/>
    <w:rsid w:val="002410BB"/>
    <w:rsid w:val="0024122A"/>
    <w:rsid w:val="00241889"/>
    <w:rsid w:val="00243253"/>
    <w:rsid w:val="002432CD"/>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466E"/>
    <w:rsid w:val="00264D7B"/>
    <w:rsid w:val="00264DF5"/>
    <w:rsid w:val="00264EBF"/>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941"/>
    <w:rsid w:val="002D3BDF"/>
    <w:rsid w:val="002D426C"/>
    <w:rsid w:val="002D4721"/>
    <w:rsid w:val="002D472F"/>
    <w:rsid w:val="002D4DB6"/>
    <w:rsid w:val="002D7271"/>
    <w:rsid w:val="002E0D86"/>
    <w:rsid w:val="002E1086"/>
    <w:rsid w:val="002E16AE"/>
    <w:rsid w:val="002E1795"/>
    <w:rsid w:val="002E1871"/>
    <w:rsid w:val="002E1A25"/>
    <w:rsid w:val="002E1C38"/>
    <w:rsid w:val="002E3521"/>
    <w:rsid w:val="002E37F4"/>
    <w:rsid w:val="002E4190"/>
    <w:rsid w:val="002E43A5"/>
    <w:rsid w:val="002E605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D44"/>
    <w:rsid w:val="00300F8D"/>
    <w:rsid w:val="003059F4"/>
    <w:rsid w:val="0030689E"/>
    <w:rsid w:val="003068D7"/>
    <w:rsid w:val="003071B2"/>
    <w:rsid w:val="00307599"/>
    <w:rsid w:val="00307AAC"/>
    <w:rsid w:val="00310399"/>
    <w:rsid w:val="00310D8D"/>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AA7"/>
    <w:rsid w:val="00340CDE"/>
    <w:rsid w:val="0034133E"/>
    <w:rsid w:val="003415A1"/>
    <w:rsid w:val="00342048"/>
    <w:rsid w:val="00342994"/>
    <w:rsid w:val="00342F54"/>
    <w:rsid w:val="00343F87"/>
    <w:rsid w:val="00346101"/>
    <w:rsid w:val="00347C24"/>
    <w:rsid w:val="00347EB1"/>
    <w:rsid w:val="003508F6"/>
    <w:rsid w:val="00351FF3"/>
    <w:rsid w:val="00352B90"/>
    <w:rsid w:val="00353231"/>
    <w:rsid w:val="00354D6E"/>
    <w:rsid w:val="0035514C"/>
    <w:rsid w:val="00355A72"/>
    <w:rsid w:val="00356084"/>
    <w:rsid w:val="00356E07"/>
    <w:rsid w:val="003642D2"/>
    <w:rsid w:val="0036450C"/>
    <w:rsid w:val="00364574"/>
    <w:rsid w:val="0036546D"/>
    <w:rsid w:val="003664C3"/>
    <w:rsid w:val="003675A1"/>
    <w:rsid w:val="0036773D"/>
    <w:rsid w:val="00367FEB"/>
    <w:rsid w:val="00371179"/>
    <w:rsid w:val="003711C1"/>
    <w:rsid w:val="00371BC3"/>
    <w:rsid w:val="00371CBE"/>
    <w:rsid w:val="00372C9E"/>
    <w:rsid w:val="0037379F"/>
    <w:rsid w:val="00373AD4"/>
    <w:rsid w:val="0037428F"/>
    <w:rsid w:val="00374539"/>
    <w:rsid w:val="003747BD"/>
    <w:rsid w:val="00374DD5"/>
    <w:rsid w:val="0037591D"/>
    <w:rsid w:val="00376776"/>
    <w:rsid w:val="0037720A"/>
    <w:rsid w:val="0038006D"/>
    <w:rsid w:val="00381EB9"/>
    <w:rsid w:val="0038206D"/>
    <w:rsid w:val="00383A81"/>
    <w:rsid w:val="00383D6A"/>
    <w:rsid w:val="00384693"/>
    <w:rsid w:val="00385DC1"/>
    <w:rsid w:val="00385F02"/>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0813"/>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FC0"/>
    <w:rsid w:val="003B4786"/>
    <w:rsid w:val="003B56E2"/>
    <w:rsid w:val="003B602A"/>
    <w:rsid w:val="003B71D0"/>
    <w:rsid w:val="003B7450"/>
    <w:rsid w:val="003C03AA"/>
    <w:rsid w:val="003C1A92"/>
    <w:rsid w:val="003C21C5"/>
    <w:rsid w:val="003C2C74"/>
    <w:rsid w:val="003C3E88"/>
    <w:rsid w:val="003C45E6"/>
    <w:rsid w:val="003C568C"/>
    <w:rsid w:val="003C63A8"/>
    <w:rsid w:val="003C6725"/>
    <w:rsid w:val="003C7107"/>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11B1"/>
    <w:rsid w:val="003E11D8"/>
    <w:rsid w:val="003E1873"/>
    <w:rsid w:val="003E1EB8"/>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079"/>
    <w:rsid w:val="00410BE9"/>
    <w:rsid w:val="004117D4"/>
    <w:rsid w:val="00411C6C"/>
    <w:rsid w:val="004133BA"/>
    <w:rsid w:val="00413638"/>
    <w:rsid w:val="00413B4D"/>
    <w:rsid w:val="00413ED4"/>
    <w:rsid w:val="00414B0A"/>
    <w:rsid w:val="00414B6F"/>
    <w:rsid w:val="00414DD6"/>
    <w:rsid w:val="004159EE"/>
    <w:rsid w:val="0041663C"/>
    <w:rsid w:val="00422F2E"/>
    <w:rsid w:val="004237E6"/>
    <w:rsid w:val="00424573"/>
    <w:rsid w:val="00425258"/>
    <w:rsid w:val="0042547A"/>
    <w:rsid w:val="00425FAD"/>
    <w:rsid w:val="00426287"/>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24A"/>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33E2"/>
    <w:rsid w:val="00464FEE"/>
    <w:rsid w:val="00465B8F"/>
    <w:rsid w:val="00465BC5"/>
    <w:rsid w:val="00467585"/>
    <w:rsid w:val="00467813"/>
    <w:rsid w:val="004704E1"/>
    <w:rsid w:val="004704EB"/>
    <w:rsid w:val="00470B02"/>
    <w:rsid w:val="00470DED"/>
    <w:rsid w:val="00472605"/>
    <w:rsid w:val="004738CC"/>
    <w:rsid w:val="00473922"/>
    <w:rsid w:val="004742F2"/>
    <w:rsid w:val="004746A9"/>
    <w:rsid w:val="004749A9"/>
    <w:rsid w:val="00474B56"/>
    <w:rsid w:val="00474B70"/>
    <w:rsid w:val="004750DD"/>
    <w:rsid w:val="0047645E"/>
    <w:rsid w:val="00477CA6"/>
    <w:rsid w:val="00477F89"/>
    <w:rsid w:val="004807F6"/>
    <w:rsid w:val="00480C5C"/>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7B07"/>
    <w:rsid w:val="00497F32"/>
    <w:rsid w:val="004A0046"/>
    <w:rsid w:val="004A0A82"/>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D5B"/>
    <w:rsid w:val="004D62A4"/>
    <w:rsid w:val="004D646A"/>
    <w:rsid w:val="004D6CB7"/>
    <w:rsid w:val="004D7170"/>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093"/>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E2B"/>
    <w:rsid w:val="005275F4"/>
    <w:rsid w:val="00527756"/>
    <w:rsid w:val="005318BB"/>
    <w:rsid w:val="00531A04"/>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791B"/>
    <w:rsid w:val="00550520"/>
    <w:rsid w:val="005511CD"/>
    <w:rsid w:val="0055222E"/>
    <w:rsid w:val="0055250D"/>
    <w:rsid w:val="00552E38"/>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02FB"/>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978A5"/>
    <w:rsid w:val="005A1261"/>
    <w:rsid w:val="005A1DB5"/>
    <w:rsid w:val="005A44FC"/>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730"/>
    <w:rsid w:val="005E0759"/>
    <w:rsid w:val="005E0A8E"/>
    <w:rsid w:val="005E1D48"/>
    <w:rsid w:val="005E1FF0"/>
    <w:rsid w:val="005E26FB"/>
    <w:rsid w:val="005E2B27"/>
    <w:rsid w:val="005E2F31"/>
    <w:rsid w:val="005E4400"/>
    <w:rsid w:val="005E681E"/>
    <w:rsid w:val="005E776F"/>
    <w:rsid w:val="005F023F"/>
    <w:rsid w:val="005F0A40"/>
    <w:rsid w:val="005F0A77"/>
    <w:rsid w:val="005F0C3A"/>
    <w:rsid w:val="005F133C"/>
    <w:rsid w:val="005F2C7A"/>
    <w:rsid w:val="005F30C1"/>
    <w:rsid w:val="005F3260"/>
    <w:rsid w:val="005F4D7C"/>
    <w:rsid w:val="005F621E"/>
    <w:rsid w:val="006002F0"/>
    <w:rsid w:val="0060077C"/>
    <w:rsid w:val="00601949"/>
    <w:rsid w:val="00602468"/>
    <w:rsid w:val="006028D2"/>
    <w:rsid w:val="00605D03"/>
    <w:rsid w:val="00605DDB"/>
    <w:rsid w:val="006061FB"/>
    <w:rsid w:val="00606EC0"/>
    <w:rsid w:val="00607AE9"/>
    <w:rsid w:val="00610478"/>
    <w:rsid w:val="00610ED1"/>
    <w:rsid w:val="006132AB"/>
    <w:rsid w:val="00613EE3"/>
    <w:rsid w:val="00613FE1"/>
    <w:rsid w:val="006140DF"/>
    <w:rsid w:val="00614799"/>
    <w:rsid w:val="00615DDA"/>
    <w:rsid w:val="00615F70"/>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61E"/>
    <w:rsid w:val="00666821"/>
    <w:rsid w:val="00670441"/>
    <w:rsid w:val="006718E5"/>
    <w:rsid w:val="00671A10"/>
    <w:rsid w:val="00672CE5"/>
    <w:rsid w:val="00674103"/>
    <w:rsid w:val="00674F36"/>
    <w:rsid w:val="00674FDB"/>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28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BD6"/>
    <w:rsid w:val="006B5EB2"/>
    <w:rsid w:val="006B6FB8"/>
    <w:rsid w:val="006C19F2"/>
    <w:rsid w:val="006C358C"/>
    <w:rsid w:val="006C6A2A"/>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B15"/>
    <w:rsid w:val="00713B1F"/>
    <w:rsid w:val="0071475A"/>
    <w:rsid w:val="00714A05"/>
    <w:rsid w:val="00714A35"/>
    <w:rsid w:val="007151A2"/>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35DB"/>
    <w:rsid w:val="0073384E"/>
    <w:rsid w:val="0073499B"/>
    <w:rsid w:val="00736977"/>
    <w:rsid w:val="00737307"/>
    <w:rsid w:val="0074049E"/>
    <w:rsid w:val="00741AF0"/>
    <w:rsid w:val="00742860"/>
    <w:rsid w:val="0074408D"/>
    <w:rsid w:val="00744418"/>
    <w:rsid w:val="007447A5"/>
    <w:rsid w:val="007455C8"/>
    <w:rsid w:val="00745C76"/>
    <w:rsid w:val="00745DEE"/>
    <w:rsid w:val="0074667D"/>
    <w:rsid w:val="0074697F"/>
    <w:rsid w:val="00747DC1"/>
    <w:rsid w:val="00747E7D"/>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524C"/>
    <w:rsid w:val="007769F4"/>
    <w:rsid w:val="0077768C"/>
    <w:rsid w:val="00780869"/>
    <w:rsid w:val="00780CCE"/>
    <w:rsid w:val="0078152D"/>
    <w:rsid w:val="00781B0F"/>
    <w:rsid w:val="00781EF3"/>
    <w:rsid w:val="00781F85"/>
    <w:rsid w:val="007838FC"/>
    <w:rsid w:val="00784124"/>
    <w:rsid w:val="00784378"/>
    <w:rsid w:val="00784656"/>
    <w:rsid w:val="00785747"/>
    <w:rsid w:val="00785BF3"/>
    <w:rsid w:val="0078684A"/>
    <w:rsid w:val="007900FE"/>
    <w:rsid w:val="00791093"/>
    <w:rsid w:val="00792302"/>
    <w:rsid w:val="007927E7"/>
    <w:rsid w:val="00793EF6"/>
    <w:rsid w:val="00794924"/>
    <w:rsid w:val="00794CA6"/>
    <w:rsid w:val="0079645E"/>
    <w:rsid w:val="007971B7"/>
    <w:rsid w:val="007976FB"/>
    <w:rsid w:val="00797CA0"/>
    <w:rsid w:val="007A0946"/>
    <w:rsid w:val="007A127B"/>
    <w:rsid w:val="007A1D72"/>
    <w:rsid w:val="007A26FC"/>
    <w:rsid w:val="007A36BE"/>
    <w:rsid w:val="007A4182"/>
    <w:rsid w:val="007A5158"/>
    <w:rsid w:val="007A5774"/>
    <w:rsid w:val="007A6735"/>
    <w:rsid w:val="007A68F1"/>
    <w:rsid w:val="007A7185"/>
    <w:rsid w:val="007A7788"/>
    <w:rsid w:val="007A7C4D"/>
    <w:rsid w:val="007B0214"/>
    <w:rsid w:val="007B130C"/>
    <w:rsid w:val="007B1B5B"/>
    <w:rsid w:val="007B1BAB"/>
    <w:rsid w:val="007B1CD2"/>
    <w:rsid w:val="007B2F45"/>
    <w:rsid w:val="007B361F"/>
    <w:rsid w:val="007B3A94"/>
    <w:rsid w:val="007B4029"/>
    <w:rsid w:val="007B4EDE"/>
    <w:rsid w:val="007B70C3"/>
    <w:rsid w:val="007B75D5"/>
    <w:rsid w:val="007B773F"/>
    <w:rsid w:val="007B7C3C"/>
    <w:rsid w:val="007B7D6F"/>
    <w:rsid w:val="007C0459"/>
    <w:rsid w:val="007C04BC"/>
    <w:rsid w:val="007C05EA"/>
    <w:rsid w:val="007C1D62"/>
    <w:rsid w:val="007C1F31"/>
    <w:rsid w:val="007C285A"/>
    <w:rsid w:val="007C3562"/>
    <w:rsid w:val="007C359F"/>
    <w:rsid w:val="007C3F2A"/>
    <w:rsid w:val="007C3F4B"/>
    <w:rsid w:val="007C4164"/>
    <w:rsid w:val="007C4426"/>
    <w:rsid w:val="007C47FC"/>
    <w:rsid w:val="007C52EA"/>
    <w:rsid w:val="007C5C1C"/>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2911"/>
    <w:rsid w:val="00802A8E"/>
    <w:rsid w:val="008051E8"/>
    <w:rsid w:val="00805A06"/>
    <w:rsid w:val="00805FEB"/>
    <w:rsid w:val="00806358"/>
    <w:rsid w:val="00806654"/>
    <w:rsid w:val="008066D8"/>
    <w:rsid w:val="00806F52"/>
    <w:rsid w:val="008073AD"/>
    <w:rsid w:val="00807A31"/>
    <w:rsid w:val="00807F1F"/>
    <w:rsid w:val="0081099F"/>
    <w:rsid w:val="008115E4"/>
    <w:rsid w:val="00812040"/>
    <w:rsid w:val="008124E6"/>
    <w:rsid w:val="00813374"/>
    <w:rsid w:val="008136A3"/>
    <w:rsid w:val="008140D1"/>
    <w:rsid w:val="0081410B"/>
    <w:rsid w:val="00814A2E"/>
    <w:rsid w:val="00814B26"/>
    <w:rsid w:val="00815897"/>
    <w:rsid w:val="00815F0A"/>
    <w:rsid w:val="00816752"/>
    <w:rsid w:val="00817191"/>
    <w:rsid w:val="00817D58"/>
    <w:rsid w:val="008201A2"/>
    <w:rsid w:val="0082072D"/>
    <w:rsid w:val="00820F5A"/>
    <w:rsid w:val="008217AF"/>
    <w:rsid w:val="00821C3E"/>
    <w:rsid w:val="0082233B"/>
    <w:rsid w:val="00822D67"/>
    <w:rsid w:val="00824092"/>
    <w:rsid w:val="008254D6"/>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416A2"/>
    <w:rsid w:val="008424BD"/>
    <w:rsid w:val="00842F85"/>
    <w:rsid w:val="008431C6"/>
    <w:rsid w:val="0084589D"/>
    <w:rsid w:val="00845BB4"/>
    <w:rsid w:val="00845E03"/>
    <w:rsid w:val="00846FD1"/>
    <w:rsid w:val="00847C0F"/>
    <w:rsid w:val="00847F2D"/>
    <w:rsid w:val="008508B0"/>
    <w:rsid w:val="00850CDE"/>
    <w:rsid w:val="00851DA3"/>
    <w:rsid w:val="00851EC3"/>
    <w:rsid w:val="00851EFD"/>
    <w:rsid w:val="00852749"/>
    <w:rsid w:val="00854127"/>
    <w:rsid w:val="008541BD"/>
    <w:rsid w:val="00854CE0"/>
    <w:rsid w:val="00855467"/>
    <w:rsid w:val="008558F4"/>
    <w:rsid w:val="00855C82"/>
    <w:rsid w:val="008569D1"/>
    <w:rsid w:val="00857D66"/>
    <w:rsid w:val="008604B3"/>
    <w:rsid w:val="0086065E"/>
    <w:rsid w:val="00860D44"/>
    <w:rsid w:val="008611EB"/>
    <w:rsid w:val="00861777"/>
    <w:rsid w:val="008618BC"/>
    <w:rsid w:val="008625CF"/>
    <w:rsid w:val="008631A9"/>
    <w:rsid w:val="008631D6"/>
    <w:rsid w:val="008644AA"/>
    <w:rsid w:val="00866D2C"/>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5D25"/>
    <w:rsid w:val="008B6D7A"/>
    <w:rsid w:val="008C0197"/>
    <w:rsid w:val="008C07D0"/>
    <w:rsid w:val="008C0BCA"/>
    <w:rsid w:val="008C18DC"/>
    <w:rsid w:val="008C1FAE"/>
    <w:rsid w:val="008C2336"/>
    <w:rsid w:val="008C69AD"/>
    <w:rsid w:val="008C69BC"/>
    <w:rsid w:val="008C741E"/>
    <w:rsid w:val="008D08A4"/>
    <w:rsid w:val="008D0F5E"/>
    <w:rsid w:val="008D1530"/>
    <w:rsid w:val="008D556A"/>
    <w:rsid w:val="008D5696"/>
    <w:rsid w:val="008D619E"/>
    <w:rsid w:val="008D6BAE"/>
    <w:rsid w:val="008E0D8F"/>
    <w:rsid w:val="008E128C"/>
    <w:rsid w:val="008E3B40"/>
    <w:rsid w:val="008E601C"/>
    <w:rsid w:val="008E626D"/>
    <w:rsid w:val="008E7CA7"/>
    <w:rsid w:val="008F0E19"/>
    <w:rsid w:val="008F156B"/>
    <w:rsid w:val="008F191F"/>
    <w:rsid w:val="008F2F0A"/>
    <w:rsid w:val="008F55C0"/>
    <w:rsid w:val="008F5751"/>
    <w:rsid w:val="008F594D"/>
    <w:rsid w:val="008F5EA9"/>
    <w:rsid w:val="008F7C2F"/>
    <w:rsid w:val="00900130"/>
    <w:rsid w:val="00901034"/>
    <w:rsid w:val="009024D7"/>
    <w:rsid w:val="0090254C"/>
    <w:rsid w:val="00902D20"/>
    <w:rsid w:val="0090353E"/>
    <w:rsid w:val="0090392D"/>
    <w:rsid w:val="00904D25"/>
    <w:rsid w:val="00904E04"/>
    <w:rsid w:val="00906450"/>
    <w:rsid w:val="0090683B"/>
    <w:rsid w:val="00907B80"/>
    <w:rsid w:val="00910CA5"/>
    <w:rsid w:val="00911600"/>
    <w:rsid w:val="00912854"/>
    <w:rsid w:val="0091461A"/>
    <w:rsid w:val="009152C8"/>
    <w:rsid w:val="00915CAD"/>
    <w:rsid w:val="00915CE8"/>
    <w:rsid w:val="00916F91"/>
    <w:rsid w:val="00917CA5"/>
    <w:rsid w:val="00920A83"/>
    <w:rsid w:val="0092319C"/>
    <w:rsid w:val="00923573"/>
    <w:rsid w:val="00923DBC"/>
    <w:rsid w:val="00924D5F"/>
    <w:rsid w:val="00925821"/>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E9"/>
    <w:rsid w:val="009A58D9"/>
    <w:rsid w:val="009A6E71"/>
    <w:rsid w:val="009A6F18"/>
    <w:rsid w:val="009B0CE6"/>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4163"/>
    <w:rsid w:val="009F50DD"/>
    <w:rsid w:val="009F70B8"/>
    <w:rsid w:val="00A009B3"/>
    <w:rsid w:val="00A00C92"/>
    <w:rsid w:val="00A02691"/>
    <w:rsid w:val="00A0314A"/>
    <w:rsid w:val="00A03272"/>
    <w:rsid w:val="00A03790"/>
    <w:rsid w:val="00A05F97"/>
    <w:rsid w:val="00A06AAB"/>
    <w:rsid w:val="00A078F5"/>
    <w:rsid w:val="00A07E1C"/>
    <w:rsid w:val="00A11238"/>
    <w:rsid w:val="00A11CF1"/>
    <w:rsid w:val="00A12B21"/>
    <w:rsid w:val="00A12E36"/>
    <w:rsid w:val="00A13146"/>
    <w:rsid w:val="00A13D23"/>
    <w:rsid w:val="00A1481C"/>
    <w:rsid w:val="00A163EA"/>
    <w:rsid w:val="00A1667D"/>
    <w:rsid w:val="00A174BA"/>
    <w:rsid w:val="00A17AD1"/>
    <w:rsid w:val="00A202E6"/>
    <w:rsid w:val="00A2039D"/>
    <w:rsid w:val="00A20539"/>
    <w:rsid w:val="00A2144C"/>
    <w:rsid w:val="00A2227D"/>
    <w:rsid w:val="00A2279E"/>
    <w:rsid w:val="00A23769"/>
    <w:rsid w:val="00A24EAE"/>
    <w:rsid w:val="00A25699"/>
    <w:rsid w:val="00A25A39"/>
    <w:rsid w:val="00A27BCB"/>
    <w:rsid w:val="00A304D0"/>
    <w:rsid w:val="00A30ED2"/>
    <w:rsid w:val="00A345A7"/>
    <w:rsid w:val="00A371EB"/>
    <w:rsid w:val="00A37D42"/>
    <w:rsid w:val="00A4095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6520"/>
    <w:rsid w:val="00A60C9C"/>
    <w:rsid w:val="00A6117A"/>
    <w:rsid w:val="00A61C04"/>
    <w:rsid w:val="00A62304"/>
    <w:rsid w:val="00A6310C"/>
    <w:rsid w:val="00A63A13"/>
    <w:rsid w:val="00A643F8"/>
    <w:rsid w:val="00A65DD1"/>
    <w:rsid w:val="00A6760C"/>
    <w:rsid w:val="00A70557"/>
    <w:rsid w:val="00A70C31"/>
    <w:rsid w:val="00A712CE"/>
    <w:rsid w:val="00A7196C"/>
    <w:rsid w:val="00A71DB5"/>
    <w:rsid w:val="00A729A6"/>
    <w:rsid w:val="00A7346F"/>
    <w:rsid w:val="00A74C39"/>
    <w:rsid w:val="00A75C0F"/>
    <w:rsid w:val="00A760F3"/>
    <w:rsid w:val="00A776C2"/>
    <w:rsid w:val="00A776D1"/>
    <w:rsid w:val="00A77E09"/>
    <w:rsid w:val="00A816AF"/>
    <w:rsid w:val="00A81720"/>
    <w:rsid w:val="00A818E4"/>
    <w:rsid w:val="00A82B19"/>
    <w:rsid w:val="00A83ED1"/>
    <w:rsid w:val="00A84DE6"/>
    <w:rsid w:val="00A8686B"/>
    <w:rsid w:val="00A87111"/>
    <w:rsid w:val="00A90D15"/>
    <w:rsid w:val="00A90F3D"/>
    <w:rsid w:val="00A92878"/>
    <w:rsid w:val="00A929A2"/>
    <w:rsid w:val="00A92FE9"/>
    <w:rsid w:val="00A93DF7"/>
    <w:rsid w:val="00A94383"/>
    <w:rsid w:val="00A94545"/>
    <w:rsid w:val="00A95A20"/>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77EF"/>
    <w:rsid w:val="00AB019A"/>
    <w:rsid w:val="00AB22B2"/>
    <w:rsid w:val="00AB2877"/>
    <w:rsid w:val="00AB2F06"/>
    <w:rsid w:val="00AB315D"/>
    <w:rsid w:val="00AB3E95"/>
    <w:rsid w:val="00AB4887"/>
    <w:rsid w:val="00AB7491"/>
    <w:rsid w:val="00AB7519"/>
    <w:rsid w:val="00AB7A7D"/>
    <w:rsid w:val="00AC0487"/>
    <w:rsid w:val="00AC0605"/>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E0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E53"/>
    <w:rsid w:val="00B21F71"/>
    <w:rsid w:val="00B22D45"/>
    <w:rsid w:val="00B238C9"/>
    <w:rsid w:val="00B248C2"/>
    <w:rsid w:val="00B27178"/>
    <w:rsid w:val="00B2717C"/>
    <w:rsid w:val="00B3092D"/>
    <w:rsid w:val="00B30A4B"/>
    <w:rsid w:val="00B30B15"/>
    <w:rsid w:val="00B31161"/>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2F0B"/>
    <w:rsid w:val="00B53D03"/>
    <w:rsid w:val="00B557E1"/>
    <w:rsid w:val="00B558D1"/>
    <w:rsid w:val="00B56207"/>
    <w:rsid w:val="00B56D7A"/>
    <w:rsid w:val="00B61369"/>
    <w:rsid w:val="00B633C3"/>
    <w:rsid w:val="00B64716"/>
    <w:rsid w:val="00B649ED"/>
    <w:rsid w:val="00B64E56"/>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5C5A"/>
    <w:rsid w:val="00B96229"/>
    <w:rsid w:val="00B96E8B"/>
    <w:rsid w:val="00B97E0C"/>
    <w:rsid w:val="00BA03D4"/>
    <w:rsid w:val="00BA29C7"/>
    <w:rsid w:val="00BA2CE6"/>
    <w:rsid w:val="00BA2FCE"/>
    <w:rsid w:val="00BA3BF9"/>
    <w:rsid w:val="00BA3F9C"/>
    <w:rsid w:val="00BA5C2F"/>
    <w:rsid w:val="00BA6488"/>
    <w:rsid w:val="00BA6CA3"/>
    <w:rsid w:val="00BA74AB"/>
    <w:rsid w:val="00BA789B"/>
    <w:rsid w:val="00BA7F0D"/>
    <w:rsid w:val="00BB011F"/>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CAD"/>
    <w:rsid w:val="00BD0221"/>
    <w:rsid w:val="00BD0B37"/>
    <w:rsid w:val="00BD0B4C"/>
    <w:rsid w:val="00BD0E48"/>
    <w:rsid w:val="00BD1CD8"/>
    <w:rsid w:val="00BD2F8E"/>
    <w:rsid w:val="00BD30D5"/>
    <w:rsid w:val="00BD3281"/>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BF51AA"/>
    <w:rsid w:val="00C00816"/>
    <w:rsid w:val="00C00AE3"/>
    <w:rsid w:val="00C014BE"/>
    <w:rsid w:val="00C01702"/>
    <w:rsid w:val="00C0190A"/>
    <w:rsid w:val="00C01ABD"/>
    <w:rsid w:val="00C021A4"/>
    <w:rsid w:val="00C0335F"/>
    <w:rsid w:val="00C03999"/>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32FB"/>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BF2"/>
    <w:rsid w:val="00C41C76"/>
    <w:rsid w:val="00C41D75"/>
    <w:rsid w:val="00C4221D"/>
    <w:rsid w:val="00C426EF"/>
    <w:rsid w:val="00C427EA"/>
    <w:rsid w:val="00C4297A"/>
    <w:rsid w:val="00C42DB6"/>
    <w:rsid w:val="00C432D2"/>
    <w:rsid w:val="00C43980"/>
    <w:rsid w:val="00C43A62"/>
    <w:rsid w:val="00C44A54"/>
    <w:rsid w:val="00C44B2A"/>
    <w:rsid w:val="00C4526C"/>
    <w:rsid w:val="00C46E26"/>
    <w:rsid w:val="00C46FB0"/>
    <w:rsid w:val="00C47DE7"/>
    <w:rsid w:val="00C5095B"/>
    <w:rsid w:val="00C50AF2"/>
    <w:rsid w:val="00C51006"/>
    <w:rsid w:val="00C51775"/>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6CD"/>
    <w:rsid w:val="00C679A1"/>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5D8"/>
    <w:rsid w:val="00C8281E"/>
    <w:rsid w:val="00C8314F"/>
    <w:rsid w:val="00C8376F"/>
    <w:rsid w:val="00C83C87"/>
    <w:rsid w:val="00C8449B"/>
    <w:rsid w:val="00C8642F"/>
    <w:rsid w:val="00C86596"/>
    <w:rsid w:val="00C876E4"/>
    <w:rsid w:val="00C87CDF"/>
    <w:rsid w:val="00C90B07"/>
    <w:rsid w:val="00C9124D"/>
    <w:rsid w:val="00C922F1"/>
    <w:rsid w:val="00C92A40"/>
    <w:rsid w:val="00C92A53"/>
    <w:rsid w:val="00C92B48"/>
    <w:rsid w:val="00C93D8E"/>
    <w:rsid w:val="00C960EB"/>
    <w:rsid w:val="00C964D5"/>
    <w:rsid w:val="00CA217B"/>
    <w:rsid w:val="00CA2D27"/>
    <w:rsid w:val="00CA42C9"/>
    <w:rsid w:val="00CA4458"/>
    <w:rsid w:val="00CA4800"/>
    <w:rsid w:val="00CA51B9"/>
    <w:rsid w:val="00CA5B85"/>
    <w:rsid w:val="00CB0BC4"/>
    <w:rsid w:val="00CB3118"/>
    <w:rsid w:val="00CB3617"/>
    <w:rsid w:val="00CB3A12"/>
    <w:rsid w:val="00CB495D"/>
    <w:rsid w:val="00CB4FE1"/>
    <w:rsid w:val="00CB5035"/>
    <w:rsid w:val="00CB512B"/>
    <w:rsid w:val="00CB52B2"/>
    <w:rsid w:val="00CB68D8"/>
    <w:rsid w:val="00CB7DD3"/>
    <w:rsid w:val="00CC0967"/>
    <w:rsid w:val="00CC0ACB"/>
    <w:rsid w:val="00CC0CDD"/>
    <w:rsid w:val="00CC19BE"/>
    <w:rsid w:val="00CC1FF4"/>
    <w:rsid w:val="00CC2777"/>
    <w:rsid w:val="00CC2809"/>
    <w:rsid w:val="00CC30B6"/>
    <w:rsid w:val="00CC552B"/>
    <w:rsid w:val="00CC642C"/>
    <w:rsid w:val="00CC71B4"/>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611"/>
    <w:rsid w:val="00CF3926"/>
    <w:rsid w:val="00CF5997"/>
    <w:rsid w:val="00CF5A08"/>
    <w:rsid w:val="00CF7883"/>
    <w:rsid w:val="00D0139A"/>
    <w:rsid w:val="00D02201"/>
    <w:rsid w:val="00D02326"/>
    <w:rsid w:val="00D02643"/>
    <w:rsid w:val="00D03CB6"/>
    <w:rsid w:val="00D05B8C"/>
    <w:rsid w:val="00D071F2"/>
    <w:rsid w:val="00D073A7"/>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3E"/>
    <w:rsid w:val="00D33996"/>
    <w:rsid w:val="00D34711"/>
    <w:rsid w:val="00D34779"/>
    <w:rsid w:val="00D35050"/>
    <w:rsid w:val="00D352DB"/>
    <w:rsid w:val="00D3534A"/>
    <w:rsid w:val="00D35B32"/>
    <w:rsid w:val="00D36BCC"/>
    <w:rsid w:val="00D36C82"/>
    <w:rsid w:val="00D372E1"/>
    <w:rsid w:val="00D40100"/>
    <w:rsid w:val="00D40C39"/>
    <w:rsid w:val="00D41F92"/>
    <w:rsid w:val="00D4246B"/>
    <w:rsid w:val="00D429F0"/>
    <w:rsid w:val="00D42C8C"/>
    <w:rsid w:val="00D45057"/>
    <w:rsid w:val="00D4561C"/>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ADE"/>
    <w:rsid w:val="00D81D7C"/>
    <w:rsid w:val="00D83CCD"/>
    <w:rsid w:val="00D83E8F"/>
    <w:rsid w:val="00D83FF1"/>
    <w:rsid w:val="00D87136"/>
    <w:rsid w:val="00D904F6"/>
    <w:rsid w:val="00D907F5"/>
    <w:rsid w:val="00D917FD"/>
    <w:rsid w:val="00D9264F"/>
    <w:rsid w:val="00D92F8A"/>
    <w:rsid w:val="00D93379"/>
    <w:rsid w:val="00D969D1"/>
    <w:rsid w:val="00DA0302"/>
    <w:rsid w:val="00DA0369"/>
    <w:rsid w:val="00DA0496"/>
    <w:rsid w:val="00DA07DE"/>
    <w:rsid w:val="00DA0BED"/>
    <w:rsid w:val="00DA0DF1"/>
    <w:rsid w:val="00DA2047"/>
    <w:rsid w:val="00DA26AA"/>
    <w:rsid w:val="00DA326C"/>
    <w:rsid w:val="00DA3EC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B7C17"/>
    <w:rsid w:val="00DC0ECC"/>
    <w:rsid w:val="00DC12C6"/>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164"/>
    <w:rsid w:val="00DF64FF"/>
    <w:rsid w:val="00E01129"/>
    <w:rsid w:val="00E01201"/>
    <w:rsid w:val="00E01C52"/>
    <w:rsid w:val="00E03709"/>
    <w:rsid w:val="00E06D35"/>
    <w:rsid w:val="00E07F5E"/>
    <w:rsid w:val="00E1018C"/>
    <w:rsid w:val="00E118CC"/>
    <w:rsid w:val="00E12DEC"/>
    <w:rsid w:val="00E132AD"/>
    <w:rsid w:val="00E13809"/>
    <w:rsid w:val="00E1431C"/>
    <w:rsid w:val="00E171E9"/>
    <w:rsid w:val="00E20F38"/>
    <w:rsid w:val="00E2104A"/>
    <w:rsid w:val="00E22CE6"/>
    <w:rsid w:val="00E233DE"/>
    <w:rsid w:val="00E234DA"/>
    <w:rsid w:val="00E2443B"/>
    <w:rsid w:val="00E252B2"/>
    <w:rsid w:val="00E25481"/>
    <w:rsid w:val="00E25483"/>
    <w:rsid w:val="00E256F5"/>
    <w:rsid w:val="00E261EE"/>
    <w:rsid w:val="00E27141"/>
    <w:rsid w:val="00E27F67"/>
    <w:rsid w:val="00E31D92"/>
    <w:rsid w:val="00E37F0E"/>
    <w:rsid w:val="00E404D3"/>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34C8"/>
    <w:rsid w:val="00E5434F"/>
    <w:rsid w:val="00E56602"/>
    <w:rsid w:val="00E56D48"/>
    <w:rsid w:val="00E5799C"/>
    <w:rsid w:val="00E604E8"/>
    <w:rsid w:val="00E608D9"/>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38"/>
    <w:rsid w:val="00E7161A"/>
    <w:rsid w:val="00E71681"/>
    <w:rsid w:val="00E72586"/>
    <w:rsid w:val="00E72F22"/>
    <w:rsid w:val="00E73FD9"/>
    <w:rsid w:val="00E76202"/>
    <w:rsid w:val="00E801B6"/>
    <w:rsid w:val="00E80CF8"/>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1ED2"/>
    <w:rsid w:val="00E93AA4"/>
    <w:rsid w:val="00E94F81"/>
    <w:rsid w:val="00E952F3"/>
    <w:rsid w:val="00E95A72"/>
    <w:rsid w:val="00E95A93"/>
    <w:rsid w:val="00E95CD9"/>
    <w:rsid w:val="00E965B8"/>
    <w:rsid w:val="00E96746"/>
    <w:rsid w:val="00E975FC"/>
    <w:rsid w:val="00E97CAF"/>
    <w:rsid w:val="00EA02C5"/>
    <w:rsid w:val="00EA0800"/>
    <w:rsid w:val="00EA0B57"/>
    <w:rsid w:val="00EA1072"/>
    <w:rsid w:val="00EA214D"/>
    <w:rsid w:val="00EA2AE8"/>
    <w:rsid w:val="00EA415F"/>
    <w:rsid w:val="00EA46E3"/>
    <w:rsid w:val="00EA4C1D"/>
    <w:rsid w:val="00EA4F97"/>
    <w:rsid w:val="00EA513C"/>
    <w:rsid w:val="00EA576B"/>
    <w:rsid w:val="00EA5D05"/>
    <w:rsid w:val="00EA7670"/>
    <w:rsid w:val="00EB083C"/>
    <w:rsid w:val="00EB20D2"/>
    <w:rsid w:val="00EB2305"/>
    <w:rsid w:val="00EB3DE4"/>
    <w:rsid w:val="00EB4DDB"/>
    <w:rsid w:val="00EB7E92"/>
    <w:rsid w:val="00EC0A46"/>
    <w:rsid w:val="00EC220B"/>
    <w:rsid w:val="00EC27C1"/>
    <w:rsid w:val="00EC36C5"/>
    <w:rsid w:val="00EC3BF9"/>
    <w:rsid w:val="00EC4755"/>
    <w:rsid w:val="00EC5D20"/>
    <w:rsid w:val="00EC5DFE"/>
    <w:rsid w:val="00EC66C4"/>
    <w:rsid w:val="00EC72AE"/>
    <w:rsid w:val="00EC7BA5"/>
    <w:rsid w:val="00EC7EB4"/>
    <w:rsid w:val="00ED0C88"/>
    <w:rsid w:val="00ED11CC"/>
    <w:rsid w:val="00ED1C6B"/>
    <w:rsid w:val="00ED1EB8"/>
    <w:rsid w:val="00ED2D76"/>
    <w:rsid w:val="00ED3050"/>
    <w:rsid w:val="00ED3919"/>
    <w:rsid w:val="00ED438A"/>
    <w:rsid w:val="00ED43AC"/>
    <w:rsid w:val="00ED4A2E"/>
    <w:rsid w:val="00ED54E4"/>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21D22"/>
    <w:rsid w:val="00F223DB"/>
    <w:rsid w:val="00F229E1"/>
    <w:rsid w:val="00F231C1"/>
    <w:rsid w:val="00F24BC9"/>
    <w:rsid w:val="00F25A5C"/>
    <w:rsid w:val="00F27375"/>
    <w:rsid w:val="00F27CDB"/>
    <w:rsid w:val="00F30B77"/>
    <w:rsid w:val="00F31036"/>
    <w:rsid w:val="00F311E3"/>
    <w:rsid w:val="00F34B11"/>
    <w:rsid w:val="00F35399"/>
    <w:rsid w:val="00F35C42"/>
    <w:rsid w:val="00F37298"/>
    <w:rsid w:val="00F37BD3"/>
    <w:rsid w:val="00F4040B"/>
    <w:rsid w:val="00F4354F"/>
    <w:rsid w:val="00F43732"/>
    <w:rsid w:val="00F43E2A"/>
    <w:rsid w:val="00F45152"/>
    <w:rsid w:val="00F45668"/>
    <w:rsid w:val="00F45BAE"/>
    <w:rsid w:val="00F460E0"/>
    <w:rsid w:val="00F47378"/>
    <w:rsid w:val="00F4786E"/>
    <w:rsid w:val="00F50CDA"/>
    <w:rsid w:val="00F50D4E"/>
    <w:rsid w:val="00F50E87"/>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6BB3"/>
    <w:rsid w:val="00F76D4E"/>
    <w:rsid w:val="00F772DA"/>
    <w:rsid w:val="00F7781E"/>
    <w:rsid w:val="00F81708"/>
    <w:rsid w:val="00F82D68"/>
    <w:rsid w:val="00F8304F"/>
    <w:rsid w:val="00F847B5"/>
    <w:rsid w:val="00F85DFD"/>
    <w:rsid w:val="00F86542"/>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70D4"/>
    <w:rsid w:val="00FB072F"/>
    <w:rsid w:val="00FB092A"/>
    <w:rsid w:val="00FB0BC2"/>
    <w:rsid w:val="00FB1D41"/>
    <w:rsid w:val="00FB2F90"/>
    <w:rsid w:val="00FB308E"/>
    <w:rsid w:val="00FB32D4"/>
    <w:rsid w:val="00FB3461"/>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735E"/>
    <w:rsid w:val="00FC7F42"/>
    <w:rsid w:val="00FD0883"/>
    <w:rsid w:val="00FD1263"/>
    <w:rsid w:val="00FD1EA4"/>
    <w:rsid w:val="00FD273B"/>
    <w:rsid w:val="00FD2B18"/>
    <w:rsid w:val="00FD34B2"/>
    <w:rsid w:val="00FD350C"/>
    <w:rsid w:val="00FD4A4B"/>
    <w:rsid w:val="00FD4B1F"/>
    <w:rsid w:val="00FD4ED0"/>
    <w:rsid w:val="00FD5D94"/>
    <w:rsid w:val="00FD65DE"/>
    <w:rsid w:val="00FE0B52"/>
    <w:rsid w:val="00FE0D70"/>
    <w:rsid w:val="00FE1A06"/>
    <w:rsid w:val="00FE2E8D"/>
    <w:rsid w:val="00FE3738"/>
    <w:rsid w:val="00FE3ACE"/>
    <w:rsid w:val="00FE3DF9"/>
    <w:rsid w:val="00FE4F1F"/>
    <w:rsid w:val="00FE513E"/>
    <w:rsid w:val="00FE531F"/>
    <w:rsid w:val="00FE5F67"/>
    <w:rsid w:val="00FE65F9"/>
    <w:rsid w:val="00FE7764"/>
    <w:rsid w:val="00FF249C"/>
    <w:rsid w:val="00FF2EA1"/>
    <w:rsid w:val="00FF35F6"/>
    <w:rsid w:val="00FF5C39"/>
    <w:rsid w:val="00FF6321"/>
    <w:rsid w:val="00FF67D2"/>
    <w:rsid w:val="00FF7622"/>
    <w:rsid w:val="01062125"/>
    <w:rsid w:val="013771AB"/>
    <w:rsid w:val="01824DF7"/>
    <w:rsid w:val="024271E9"/>
    <w:rsid w:val="02A6176C"/>
    <w:rsid w:val="02BC111C"/>
    <w:rsid w:val="02F51C7E"/>
    <w:rsid w:val="03291750"/>
    <w:rsid w:val="032E6200"/>
    <w:rsid w:val="03F5310A"/>
    <w:rsid w:val="042309FA"/>
    <w:rsid w:val="045C5C07"/>
    <w:rsid w:val="049973F4"/>
    <w:rsid w:val="04DE1D20"/>
    <w:rsid w:val="06BB176B"/>
    <w:rsid w:val="06C14579"/>
    <w:rsid w:val="06D353E0"/>
    <w:rsid w:val="06D82A96"/>
    <w:rsid w:val="06EB0F71"/>
    <w:rsid w:val="077305E3"/>
    <w:rsid w:val="079D0FB7"/>
    <w:rsid w:val="081B4E0E"/>
    <w:rsid w:val="087A1ED2"/>
    <w:rsid w:val="089B2ACD"/>
    <w:rsid w:val="094C44B7"/>
    <w:rsid w:val="0A98376C"/>
    <w:rsid w:val="0ADC0233"/>
    <w:rsid w:val="0B1D25DA"/>
    <w:rsid w:val="0B665B3E"/>
    <w:rsid w:val="0B9D7AE8"/>
    <w:rsid w:val="0BCD6D64"/>
    <w:rsid w:val="0C1359D3"/>
    <w:rsid w:val="0C414BBA"/>
    <w:rsid w:val="0C582356"/>
    <w:rsid w:val="0C92234F"/>
    <w:rsid w:val="0D0C4EE5"/>
    <w:rsid w:val="0D576F84"/>
    <w:rsid w:val="0DEE0A78"/>
    <w:rsid w:val="0E5D5DE7"/>
    <w:rsid w:val="0E5E6C25"/>
    <w:rsid w:val="0E6B3A17"/>
    <w:rsid w:val="0E8B16AC"/>
    <w:rsid w:val="0EA5064D"/>
    <w:rsid w:val="0F1E3DDE"/>
    <w:rsid w:val="0F316B3B"/>
    <w:rsid w:val="0F410B65"/>
    <w:rsid w:val="0F453EBA"/>
    <w:rsid w:val="10227B27"/>
    <w:rsid w:val="1025537B"/>
    <w:rsid w:val="1088173F"/>
    <w:rsid w:val="10C56F15"/>
    <w:rsid w:val="10DF70AB"/>
    <w:rsid w:val="116E377E"/>
    <w:rsid w:val="11981B71"/>
    <w:rsid w:val="11A6491C"/>
    <w:rsid w:val="11F76B77"/>
    <w:rsid w:val="11F974CE"/>
    <w:rsid w:val="122F386C"/>
    <w:rsid w:val="125C0835"/>
    <w:rsid w:val="12DC62F0"/>
    <w:rsid w:val="130731D0"/>
    <w:rsid w:val="131E6E7A"/>
    <w:rsid w:val="13DF0DE4"/>
    <w:rsid w:val="14A26CC3"/>
    <w:rsid w:val="153E6409"/>
    <w:rsid w:val="15501F64"/>
    <w:rsid w:val="15782B08"/>
    <w:rsid w:val="15FE0AE7"/>
    <w:rsid w:val="160D4035"/>
    <w:rsid w:val="160F0A23"/>
    <w:rsid w:val="162C44E9"/>
    <w:rsid w:val="16C91A60"/>
    <w:rsid w:val="17263A2C"/>
    <w:rsid w:val="17481C29"/>
    <w:rsid w:val="17517DD8"/>
    <w:rsid w:val="17C75901"/>
    <w:rsid w:val="18573C20"/>
    <w:rsid w:val="185C5D3D"/>
    <w:rsid w:val="18844480"/>
    <w:rsid w:val="189C1B9B"/>
    <w:rsid w:val="18AF7DEC"/>
    <w:rsid w:val="19046075"/>
    <w:rsid w:val="194438E1"/>
    <w:rsid w:val="195B0F01"/>
    <w:rsid w:val="19E25250"/>
    <w:rsid w:val="1A6B6F78"/>
    <w:rsid w:val="1B0D0D5F"/>
    <w:rsid w:val="1B16621A"/>
    <w:rsid w:val="1B347336"/>
    <w:rsid w:val="1B496566"/>
    <w:rsid w:val="1B633113"/>
    <w:rsid w:val="1B7C4F9F"/>
    <w:rsid w:val="1BA81B7B"/>
    <w:rsid w:val="1C495176"/>
    <w:rsid w:val="1C626DD1"/>
    <w:rsid w:val="1C752DA7"/>
    <w:rsid w:val="1CC84EF7"/>
    <w:rsid w:val="1D034309"/>
    <w:rsid w:val="1D574F38"/>
    <w:rsid w:val="1D5B2D22"/>
    <w:rsid w:val="1D9344C9"/>
    <w:rsid w:val="1D952FE4"/>
    <w:rsid w:val="1DD036F0"/>
    <w:rsid w:val="1E1C6CE0"/>
    <w:rsid w:val="1E3637B7"/>
    <w:rsid w:val="1E5E181A"/>
    <w:rsid w:val="1EF469CD"/>
    <w:rsid w:val="1F403C14"/>
    <w:rsid w:val="1F727AA3"/>
    <w:rsid w:val="2012689E"/>
    <w:rsid w:val="205A3079"/>
    <w:rsid w:val="20631C56"/>
    <w:rsid w:val="206D17D5"/>
    <w:rsid w:val="20A14C6C"/>
    <w:rsid w:val="20DF14DB"/>
    <w:rsid w:val="21831A25"/>
    <w:rsid w:val="21CD2AF2"/>
    <w:rsid w:val="21D33133"/>
    <w:rsid w:val="22067E41"/>
    <w:rsid w:val="224D2542"/>
    <w:rsid w:val="229474A8"/>
    <w:rsid w:val="22F47D4B"/>
    <w:rsid w:val="22F7728D"/>
    <w:rsid w:val="23244E76"/>
    <w:rsid w:val="23370042"/>
    <w:rsid w:val="23431F87"/>
    <w:rsid w:val="235A0AC5"/>
    <w:rsid w:val="236F0189"/>
    <w:rsid w:val="23784956"/>
    <w:rsid w:val="238A1AA3"/>
    <w:rsid w:val="23927D8A"/>
    <w:rsid w:val="23B36574"/>
    <w:rsid w:val="24262A79"/>
    <w:rsid w:val="24686CA9"/>
    <w:rsid w:val="2469591E"/>
    <w:rsid w:val="24AC3C11"/>
    <w:rsid w:val="25103E09"/>
    <w:rsid w:val="25546714"/>
    <w:rsid w:val="25621A08"/>
    <w:rsid w:val="25716E0B"/>
    <w:rsid w:val="25912E93"/>
    <w:rsid w:val="25FB3B5C"/>
    <w:rsid w:val="26F27F0D"/>
    <w:rsid w:val="26FC51B4"/>
    <w:rsid w:val="26FF4328"/>
    <w:rsid w:val="273F1C9F"/>
    <w:rsid w:val="27D3327D"/>
    <w:rsid w:val="27F36838"/>
    <w:rsid w:val="28DB7AF5"/>
    <w:rsid w:val="28F71C82"/>
    <w:rsid w:val="2A0E44A4"/>
    <w:rsid w:val="2AC81636"/>
    <w:rsid w:val="2AF544CE"/>
    <w:rsid w:val="2B6941A9"/>
    <w:rsid w:val="2B941C0A"/>
    <w:rsid w:val="2BC72862"/>
    <w:rsid w:val="2C2D4095"/>
    <w:rsid w:val="2D232C5D"/>
    <w:rsid w:val="2D704ED6"/>
    <w:rsid w:val="2D8A5234"/>
    <w:rsid w:val="2D925544"/>
    <w:rsid w:val="2E1F4604"/>
    <w:rsid w:val="2E3734E8"/>
    <w:rsid w:val="2E4A1BD3"/>
    <w:rsid w:val="2EC93122"/>
    <w:rsid w:val="2EF81A31"/>
    <w:rsid w:val="2F265561"/>
    <w:rsid w:val="2F4E415C"/>
    <w:rsid w:val="2FAA0D24"/>
    <w:rsid w:val="2FDE7B7D"/>
    <w:rsid w:val="2FF42F22"/>
    <w:rsid w:val="300505C8"/>
    <w:rsid w:val="31666DDB"/>
    <w:rsid w:val="31772FDB"/>
    <w:rsid w:val="31BC7DBA"/>
    <w:rsid w:val="31E14057"/>
    <w:rsid w:val="31E169AB"/>
    <w:rsid w:val="324E005A"/>
    <w:rsid w:val="32627CC2"/>
    <w:rsid w:val="32AD3E40"/>
    <w:rsid w:val="32E33FD0"/>
    <w:rsid w:val="330B3F6B"/>
    <w:rsid w:val="33623844"/>
    <w:rsid w:val="33C70772"/>
    <w:rsid w:val="33E23040"/>
    <w:rsid w:val="346E66F3"/>
    <w:rsid w:val="34B23E51"/>
    <w:rsid w:val="34DB251F"/>
    <w:rsid w:val="35613990"/>
    <w:rsid w:val="35CD3148"/>
    <w:rsid w:val="360428A5"/>
    <w:rsid w:val="36325413"/>
    <w:rsid w:val="36811750"/>
    <w:rsid w:val="3683089E"/>
    <w:rsid w:val="36DC40F3"/>
    <w:rsid w:val="36EE25F7"/>
    <w:rsid w:val="373F4178"/>
    <w:rsid w:val="376928DE"/>
    <w:rsid w:val="376F1E33"/>
    <w:rsid w:val="3799760D"/>
    <w:rsid w:val="37BB79E7"/>
    <w:rsid w:val="37E96A1B"/>
    <w:rsid w:val="38384D8D"/>
    <w:rsid w:val="384E6197"/>
    <w:rsid w:val="387068F8"/>
    <w:rsid w:val="38AB3E7E"/>
    <w:rsid w:val="391800E8"/>
    <w:rsid w:val="399425A8"/>
    <w:rsid w:val="39BA7BCC"/>
    <w:rsid w:val="3AC64691"/>
    <w:rsid w:val="3BE36C2A"/>
    <w:rsid w:val="3C414104"/>
    <w:rsid w:val="3C802D63"/>
    <w:rsid w:val="3CFB0010"/>
    <w:rsid w:val="3D565C2A"/>
    <w:rsid w:val="3DBF6BE4"/>
    <w:rsid w:val="3DC102A5"/>
    <w:rsid w:val="3DC923C8"/>
    <w:rsid w:val="3E3400F1"/>
    <w:rsid w:val="3E967614"/>
    <w:rsid w:val="3ED03268"/>
    <w:rsid w:val="3F2117B8"/>
    <w:rsid w:val="3FD833CC"/>
    <w:rsid w:val="41342F4F"/>
    <w:rsid w:val="41630077"/>
    <w:rsid w:val="41B41005"/>
    <w:rsid w:val="41B87774"/>
    <w:rsid w:val="41BD2EB5"/>
    <w:rsid w:val="420D6A89"/>
    <w:rsid w:val="426253E2"/>
    <w:rsid w:val="429E42EB"/>
    <w:rsid w:val="431A6FFD"/>
    <w:rsid w:val="43253836"/>
    <w:rsid w:val="4340171E"/>
    <w:rsid w:val="43FA087F"/>
    <w:rsid w:val="44066FE8"/>
    <w:rsid w:val="44112E82"/>
    <w:rsid w:val="44B63478"/>
    <w:rsid w:val="457D47CA"/>
    <w:rsid w:val="45B959CF"/>
    <w:rsid w:val="45CF23FD"/>
    <w:rsid w:val="46144AD3"/>
    <w:rsid w:val="4655044C"/>
    <w:rsid w:val="47003B7A"/>
    <w:rsid w:val="47532426"/>
    <w:rsid w:val="47D25101"/>
    <w:rsid w:val="483072D3"/>
    <w:rsid w:val="4862134D"/>
    <w:rsid w:val="486424FE"/>
    <w:rsid w:val="48736E4B"/>
    <w:rsid w:val="48815081"/>
    <w:rsid w:val="489C3F0A"/>
    <w:rsid w:val="494B5B55"/>
    <w:rsid w:val="495718F9"/>
    <w:rsid w:val="49AC4A0E"/>
    <w:rsid w:val="49CD54F2"/>
    <w:rsid w:val="49E527ED"/>
    <w:rsid w:val="49F82BDB"/>
    <w:rsid w:val="4ABB188A"/>
    <w:rsid w:val="4B793E5F"/>
    <w:rsid w:val="4BA97B17"/>
    <w:rsid w:val="4BB80239"/>
    <w:rsid w:val="4C3277C3"/>
    <w:rsid w:val="4C4000EF"/>
    <w:rsid w:val="4C907067"/>
    <w:rsid w:val="4CBF26F1"/>
    <w:rsid w:val="4CD072E4"/>
    <w:rsid w:val="4CEE71ED"/>
    <w:rsid w:val="4D981D21"/>
    <w:rsid w:val="4DA94501"/>
    <w:rsid w:val="4E152597"/>
    <w:rsid w:val="4E4D6414"/>
    <w:rsid w:val="4E6F4EFC"/>
    <w:rsid w:val="4E8A2296"/>
    <w:rsid w:val="4EA747FE"/>
    <w:rsid w:val="4EC809B4"/>
    <w:rsid w:val="4F67559D"/>
    <w:rsid w:val="4F9305D4"/>
    <w:rsid w:val="4FA8027F"/>
    <w:rsid w:val="4FBB4CBF"/>
    <w:rsid w:val="4FC85481"/>
    <w:rsid w:val="500F2FE2"/>
    <w:rsid w:val="5019527E"/>
    <w:rsid w:val="502255C3"/>
    <w:rsid w:val="50593621"/>
    <w:rsid w:val="51582209"/>
    <w:rsid w:val="51693DBC"/>
    <w:rsid w:val="52755F63"/>
    <w:rsid w:val="527D7327"/>
    <w:rsid w:val="5295428F"/>
    <w:rsid w:val="52960A61"/>
    <w:rsid w:val="52CD7564"/>
    <w:rsid w:val="52D83049"/>
    <w:rsid w:val="52FB6031"/>
    <w:rsid w:val="53262690"/>
    <w:rsid w:val="534E6CAA"/>
    <w:rsid w:val="53886A0F"/>
    <w:rsid w:val="539A5A56"/>
    <w:rsid w:val="53D46FDB"/>
    <w:rsid w:val="53E51467"/>
    <w:rsid w:val="542F2FAF"/>
    <w:rsid w:val="5438222C"/>
    <w:rsid w:val="549D3D59"/>
    <w:rsid w:val="54D532B9"/>
    <w:rsid w:val="55091837"/>
    <w:rsid w:val="553A10FC"/>
    <w:rsid w:val="5558535A"/>
    <w:rsid w:val="556B7B84"/>
    <w:rsid w:val="55793BEA"/>
    <w:rsid w:val="557D31DF"/>
    <w:rsid w:val="55E827DA"/>
    <w:rsid w:val="55FE08F4"/>
    <w:rsid w:val="562E496F"/>
    <w:rsid w:val="563110AD"/>
    <w:rsid w:val="56820C2B"/>
    <w:rsid w:val="56B000C9"/>
    <w:rsid w:val="5758225C"/>
    <w:rsid w:val="577A4478"/>
    <w:rsid w:val="584866B7"/>
    <w:rsid w:val="585B664C"/>
    <w:rsid w:val="586B567A"/>
    <w:rsid w:val="58BB7F16"/>
    <w:rsid w:val="58D67A90"/>
    <w:rsid w:val="59310B3A"/>
    <w:rsid w:val="59490D75"/>
    <w:rsid w:val="59554092"/>
    <w:rsid w:val="59787DE8"/>
    <w:rsid w:val="59B40EF2"/>
    <w:rsid w:val="59DD5E52"/>
    <w:rsid w:val="5A117C72"/>
    <w:rsid w:val="5A607861"/>
    <w:rsid w:val="5AF45367"/>
    <w:rsid w:val="5AF455DC"/>
    <w:rsid w:val="5AFF6807"/>
    <w:rsid w:val="5B3B29E0"/>
    <w:rsid w:val="5BD253BA"/>
    <w:rsid w:val="5C1438DB"/>
    <w:rsid w:val="5C465C45"/>
    <w:rsid w:val="5C8A2839"/>
    <w:rsid w:val="5D291942"/>
    <w:rsid w:val="5D4F4C31"/>
    <w:rsid w:val="5E0D7EB6"/>
    <w:rsid w:val="5E3919D5"/>
    <w:rsid w:val="5E4170B4"/>
    <w:rsid w:val="5EF335BE"/>
    <w:rsid w:val="5F5E7130"/>
    <w:rsid w:val="5F8E3CB0"/>
    <w:rsid w:val="5FC458BA"/>
    <w:rsid w:val="5FFF2D8E"/>
    <w:rsid w:val="600C73F8"/>
    <w:rsid w:val="60CA3149"/>
    <w:rsid w:val="611317EA"/>
    <w:rsid w:val="618D4DB7"/>
    <w:rsid w:val="61FF72DA"/>
    <w:rsid w:val="63074722"/>
    <w:rsid w:val="63426AC7"/>
    <w:rsid w:val="652D7B47"/>
    <w:rsid w:val="65501B81"/>
    <w:rsid w:val="655D6F42"/>
    <w:rsid w:val="665C09BD"/>
    <w:rsid w:val="6660670A"/>
    <w:rsid w:val="666A51A6"/>
    <w:rsid w:val="66AE03C7"/>
    <w:rsid w:val="66BF2237"/>
    <w:rsid w:val="66F36CB8"/>
    <w:rsid w:val="6750160F"/>
    <w:rsid w:val="6760219B"/>
    <w:rsid w:val="68485A4E"/>
    <w:rsid w:val="689E3880"/>
    <w:rsid w:val="68AD32E8"/>
    <w:rsid w:val="68C621EA"/>
    <w:rsid w:val="69925D37"/>
    <w:rsid w:val="69A276C8"/>
    <w:rsid w:val="69D1398F"/>
    <w:rsid w:val="6A2751EE"/>
    <w:rsid w:val="6A87012B"/>
    <w:rsid w:val="6AA777B6"/>
    <w:rsid w:val="6AFD3861"/>
    <w:rsid w:val="6B354314"/>
    <w:rsid w:val="6B6B632F"/>
    <w:rsid w:val="6B6C63E9"/>
    <w:rsid w:val="6BA55E3F"/>
    <w:rsid w:val="6BDF7EC4"/>
    <w:rsid w:val="6C281363"/>
    <w:rsid w:val="6C48698B"/>
    <w:rsid w:val="6C5A653B"/>
    <w:rsid w:val="6C72736B"/>
    <w:rsid w:val="6C9648C7"/>
    <w:rsid w:val="6D2A43A7"/>
    <w:rsid w:val="6D2C5D52"/>
    <w:rsid w:val="6D4F7D74"/>
    <w:rsid w:val="6DA2671A"/>
    <w:rsid w:val="6DC2592F"/>
    <w:rsid w:val="6E0E00BC"/>
    <w:rsid w:val="6E8215A7"/>
    <w:rsid w:val="6EB319E2"/>
    <w:rsid w:val="6F7456E6"/>
    <w:rsid w:val="70102492"/>
    <w:rsid w:val="704E7E52"/>
    <w:rsid w:val="71100269"/>
    <w:rsid w:val="71905E1A"/>
    <w:rsid w:val="71D46E13"/>
    <w:rsid w:val="71EC2DF2"/>
    <w:rsid w:val="71FD48C2"/>
    <w:rsid w:val="72494BC1"/>
    <w:rsid w:val="729E6EF2"/>
    <w:rsid w:val="729F0994"/>
    <w:rsid w:val="730E7F08"/>
    <w:rsid w:val="736263DC"/>
    <w:rsid w:val="73960FA2"/>
    <w:rsid w:val="73CC7106"/>
    <w:rsid w:val="73E94082"/>
    <w:rsid w:val="74736CE1"/>
    <w:rsid w:val="74831B39"/>
    <w:rsid w:val="74F626D6"/>
    <w:rsid w:val="75160715"/>
    <w:rsid w:val="75262187"/>
    <w:rsid w:val="754706C8"/>
    <w:rsid w:val="75996F51"/>
    <w:rsid w:val="767700B0"/>
    <w:rsid w:val="768F5735"/>
    <w:rsid w:val="76C32663"/>
    <w:rsid w:val="76C9048D"/>
    <w:rsid w:val="76D67314"/>
    <w:rsid w:val="77116A0B"/>
    <w:rsid w:val="77564CF6"/>
    <w:rsid w:val="778007CA"/>
    <w:rsid w:val="779B009A"/>
    <w:rsid w:val="780D1947"/>
    <w:rsid w:val="78240212"/>
    <w:rsid w:val="79DB4D20"/>
    <w:rsid w:val="79ED153E"/>
    <w:rsid w:val="7A5769C7"/>
    <w:rsid w:val="7AE971AF"/>
    <w:rsid w:val="7B35634D"/>
    <w:rsid w:val="7B3E2085"/>
    <w:rsid w:val="7B405890"/>
    <w:rsid w:val="7B7845AC"/>
    <w:rsid w:val="7B825CBD"/>
    <w:rsid w:val="7B89213B"/>
    <w:rsid w:val="7BC70848"/>
    <w:rsid w:val="7BEB76AF"/>
    <w:rsid w:val="7C17618C"/>
    <w:rsid w:val="7C341292"/>
    <w:rsid w:val="7CC04D29"/>
    <w:rsid w:val="7D1460FC"/>
    <w:rsid w:val="7D6705F6"/>
    <w:rsid w:val="7D8F10C3"/>
    <w:rsid w:val="7D903DFC"/>
    <w:rsid w:val="7DDC3271"/>
    <w:rsid w:val="7E0D2E93"/>
    <w:rsid w:val="7E774820"/>
    <w:rsid w:val="7EEE1ABA"/>
    <w:rsid w:val="7F1C0D6F"/>
    <w:rsid w:val="7F224FB7"/>
    <w:rsid w:val="7F907C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50"/>
    <w:qFormat/>
    <w:uiPriority w:val="0"/>
    <w:pPr>
      <w:keepNext/>
      <w:keepLines/>
      <w:spacing w:before="260" w:after="260" w:line="416" w:lineRule="auto"/>
      <w:outlineLvl w:val="2"/>
    </w:pPr>
    <w:rPr>
      <w:b/>
      <w:bCs/>
      <w:sz w:val="32"/>
      <w:szCs w:val="32"/>
    </w:rPr>
  </w:style>
  <w:style w:type="paragraph" w:styleId="6">
    <w:name w:val="heading 4"/>
    <w:basedOn w:val="1"/>
    <w:next w:val="1"/>
    <w:link w:val="185"/>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7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24"/>
    <w:qFormat/>
    <w:uiPriority w:val="0"/>
    <w:pPr>
      <w:keepNext/>
      <w:keepLines/>
      <w:ind w:firstLine="200" w:firstLineChars="200"/>
      <w:outlineLvl w:val="5"/>
    </w:pPr>
    <w:rPr>
      <w:rFonts w:hAnsi="Arial"/>
    </w:rPr>
  </w:style>
  <w:style w:type="paragraph" w:styleId="10">
    <w:name w:val="heading 7"/>
    <w:basedOn w:val="1"/>
    <w:next w:val="1"/>
    <w:link w:val="10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6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0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9"/>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95"/>
    <w:qFormat/>
    <w:uiPriority w:val="0"/>
    <w:pPr>
      <w:shd w:val="clear" w:color="auto" w:fill="000080"/>
    </w:pPr>
  </w:style>
  <w:style w:type="paragraph" w:styleId="16">
    <w:name w:val="annotation text"/>
    <w:basedOn w:val="1"/>
    <w:link w:val="162"/>
    <w:qFormat/>
    <w:uiPriority w:val="0"/>
    <w:pPr>
      <w:jc w:val="left"/>
    </w:pPr>
  </w:style>
  <w:style w:type="paragraph" w:styleId="17">
    <w:name w:val="Body Text 3"/>
    <w:basedOn w:val="1"/>
    <w:link w:val="67"/>
    <w:qFormat/>
    <w:uiPriority w:val="0"/>
    <w:pPr>
      <w:spacing w:after="120"/>
    </w:pPr>
    <w:rPr>
      <w:sz w:val="16"/>
      <w:szCs w:val="16"/>
    </w:rPr>
  </w:style>
  <w:style w:type="paragraph" w:styleId="18">
    <w:name w:val="Body Text Indent"/>
    <w:basedOn w:val="1"/>
    <w:link w:val="143"/>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179"/>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24"/>
    <w:qFormat/>
    <w:uiPriority w:val="0"/>
    <w:pPr>
      <w:ind w:left="100" w:leftChars="2500"/>
    </w:pPr>
  </w:style>
  <w:style w:type="paragraph" w:styleId="26">
    <w:name w:val="Body Text Indent 2"/>
    <w:basedOn w:val="1"/>
    <w:link w:val="98"/>
    <w:qFormat/>
    <w:uiPriority w:val="0"/>
    <w:pPr>
      <w:widowControl/>
      <w:spacing w:line="480" w:lineRule="auto"/>
      <w:ind w:firstLine="560"/>
      <w:jc w:val="left"/>
    </w:pPr>
    <w:rPr>
      <w:kern w:val="0"/>
      <w:sz w:val="28"/>
    </w:rPr>
  </w:style>
  <w:style w:type="paragraph" w:styleId="27">
    <w:name w:val="endnote text"/>
    <w:basedOn w:val="1"/>
    <w:link w:val="193"/>
    <w:qFormat/>
    <w:uiPriority w:val="0"/>
    <w:pPr>
      <w:widowControl/>
      <w:snapToGrid w:val="0"/>
      <w:jc w:val="left"/>
    </w:pPr>
    <w:rPr>
      <w:rFonts w:ascii="Arial" w:hAnsi="Arial" w:cs="Arial"/>
      <w:kern w:val="0"/>
      <w:sz w:val="20"/>
      <w:lang w:eastAsia="en-US"/>
    </w:rPr>
  </w:style>
  <w:style w:type="paragraph" w:styleId="28">
    <w:name w:val="Balloon Text"/>
    <w:basedOn w:val="1"/>
    <w:link w:val="164"/>
    <w:qFormat/>
    <w:uiPriority w:val="0"/>
    <w:rPr>
      <w:sz w:val="18"/>
      <w:szCs w:val="18"/>
    </w:rPr>
  </w:style>
  <w:style w:type="paragraph" w:styleId="29">
    <w:name w:val="footer"/>
    <w:basedOn w:val="1"/>
    <w:link w:val="153"/>
    <w:qFormat/>
    <w:uiPriority w:val="0"/>
    <w:pPr>
      <w:tabs>
        <w:tab w:val="center" w:pos="4153"/>
        <w:tab w:val="right" w:pos="8306"/>
      </w:tabs>
      <w:snapToGrid w:val="0"/>
      <w:jc w:val="left"/>
    </w:pPr>
    <w:rPr>
      <w:sz w:val="18"/>
      <w:szCs w:val="18"/>
    </w:rPr>
  </w:style>
  <w:style w:type="paragraph" w:styleId="30">
    <w:name w:val="header"/>
    <w:basedOn w:val="1"/>
    <w:link w:val="19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118"/>
    <w:qFormat/>
    <w:uiPriority w:val="0"/>
    <w:pPr>
      <w:widowControl/>
      <w:jc w:val="center"/>
    </w:pPr>
    <w:rPr>
      <w:kern w:val="0"/>
      <w:sz w:val="20"/>
      <w:u w:val="single"/>
      <w:lang w:eastAsia="en-US"/>
    </w:rPr>
  </w:style>
  <w:style w:type="paragraph" w:styleId="34">
    <w:name w:val="footnote text"/>
    <w:basedOn w:val="1"/>
    <w:link w:val="169"/>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29"/>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15"/>
    <w:qFormat/>
    <w:uiPriority w:val="0"/>
    <w:rPr>
      <w:i/>
      <w:iCs/>
      <w:sz w:val="26"/>
    </w:rPr>
  </w:style>
  <w:style w:type="paragraph" w:styleId="40">
    <w:name w:val="HTML Preformatted"/>
    <w:basedOn w:val="1"/>
    <w:link w:val="8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190"/>
    <w:qFormat/>
    <w:uiPriority w:val="0"/>
    <w:pPr>
      <w:widowControl/>
      <w:jc w:val="center"/>
    </w:pPr>
    <w:rPr>
      <w:kern w:val="0"/>
      <w:sz w:val="20"/>
      <w:u w:val="single"/>
      <w:lang w:eastAsia="en-US"/>
    </w:rPr>
  </w:style>
  <w:style w:type="paragraph" w:styleId="44">
    <w:name w:val="annotation subject"/>
    <w:basedOn w:val="16"/>
    <w:next w:val="16"/>
    <w:link w:val="163"/>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文档结构图 Char2"/>
    <w:qFormat/>
    <w:uiPriority w:val="99"/>
    <w:rPr>
      <w:kern w:val="2"/>
      <w:sz w:val="21"/>
      <w:szCs w:val="24"/>
      <w:shd w:val="clear" w:color="auto" w:fill="000080"/>
    </w:rPr>
  </w:style>
  <w:style w:type="character" w:customStyle="1" w:styleId="59">
    <w:name w:val="不明显强调1"/>
    <w:qFormat/>
    <w:uiPriority w:val="0"/>
    <w:rPr>
      <w:i/>
      <w:iCs/>
      <w:color w:val="808080"/>
    </w:rPr>
  </w:style>
  <w:style w:type="character" w:customStyle="1" w:styleId="60">
    <w:name w:val="标题 8 Char2"/>
    <w:link w:val="11"/>
    <w:qFormat/>
    <w:uiPriority w:val="0"/>
    <w:rPr>
      <w:rFonts w:hAnsi="Arial" w:eastAsia="仿宋_GB2312"/>
      <w:sz w:val="30"/>
      <w:lang w:val="en-US" w:eastAsia="zh-CN" w:bidi="ar-SA"/>
    </w:rPr>
  </w:style>
  <w:style w:type="character" w:customStyle="1" w:styleId="61">
    <w:name w:val="color_red1"/>
    <w:qFormat/>
    <w:uiPriority w:val="0"/>
    <w:rPr>
      <w:color w:val="FA0004"/>
    </w:rPr>
  </w:style>
  <w:style w:type="character" w:customStyle="1" w:styleId="62">
    <w:name w:val="subhead1"/>
    <w:qFormat/>
    <w:uiPriority w:val="0"/>
    <w:rPr>
      <w:rFonts w:hint="default" w:ascii="Tahoma" w:hAnsi="Tahoma" w:cs="Tahoma"/>
      <w:color w:val="000000"/>
      <w:sz w:val="18"/>
      <w:szCs w:val="18"/>
      <w:u w:val="none"/>
      <w:shd w:val="clear" w:color="auto" w:fill="FFFFFF"/>
    </w:rPr>
  </w:style>
  <w:style w:type="character" w:customStyle="1" w:styleId="63">
    <w:name w:val="标题5 Char Char"/>
    <w:link w:val="64"/>
    <w:qFormat/>
    <w:uiPriority w:val="0"/>
    <w:rPr>
      <w:rFonts w:ascii="Arial" w:hAnsi="Arial"/>
      <w:b/>
      <w:bCs/>
      <w:sz w:val="24"/>
      <w:szCs w:val="32"/>
      <w:lang w:bidi="ar-SA"/>
    </w:rPr>
  </w:style>
  <w:style w:type="paragraph" w:customStyle="1" w:styleId="64">
    <w:name w:val="标题5"/>
    <w:basedOn w:val="5"/>
    <w:link w:val="63"/>
    <w:qFormat/>
    <w:uiPriority w:val="0"/>
    <w:pPr>
      <w:spacing w:line="413" w:lineRule="auto"/>
    </w:pPr>
    <w:rPr>
      <w:rFonts w:ascii="Arial" w:hAnsi="Arial"/>
      <w:kern w:val="0"/>
      <w:sz w:val="24"/>
    </w:rPr>
  </w:style>
  <w:style w:type="character" w:customStyle="1" w:styleId="65">
    <w:name w:val="文档结构图 Char"/>
    <w:qFormat/>
    <w:uiPriority w:val="0"/>
    <w:rPr>
      <w:rFonts w:ascii="宋体"/>
      <w:kern w:val="2"/>
      <w:sz w:val="18"/>
      <w:szCs w:val="18"/>
    </w:rPr>
  </w:style>
  <w:style w:type="character" w:customStyle="1" w:styleId="66">
    <w:name w:val="标题 7 Char"/>
    <w:qFormat/>
    <w:uiPriority w:val="0"/>
    <w:rPr>
      <w:rFonts w:ascii="Calibri" w:hAnsi="Calibri" w:eastAsia="宋体" w:cs="Times New Roman"/>
      <w:b/>
      <w:bCs/>
      <w:sz w:val="24"/>
      <w:szCs w:val="24"/>
    </w:rPr>
  </w:style>
  <w:style w:type="character" w:customStyle="1" w:styleId="67">
    <w:name w:val="正文文本 3 Char3"/>
    <w:link w:val="17"/>
    <w:qFormat/>
    <w:uiPriority w:val="0"/>
    <w:rPr>
      <w:rFonts w:eastAsia="宋体"/>
      <w:kern w:val="2"/>
      <w:sz w:val="16"/>
      <w:szCs w:val="16"/>
      <w:lang w:val="en-US" w:eastAsia="zh-CN" w:bidi="ar-SA"/>
    </w:rPr>
  </w:style>
  <w:style w:type="character" w:customStyle="1" w:styleId="68">
    <w:name w:val="style161"/>
    <w:qFormat/>
    <w:uiPriority w:val="0"/>
    <w:rPr>
      <w:b/>
      <w:bCs/>
      <w:color w:val="333333"/>
    </w:rPr>
  </w:style>
  <w:style w:type="character" w:customStyle="1" w:styleId="69">
    <w:name w:val="日期 Char2"/>
    <w:qFormat/>
    <w:uiPriority w:val="99"/>
    <w:rPr>
      <w:kern w:val="2"/>
      <w:sz w:val="21"/>
      <w:szCs w:val="24"/>
    </w:rPr>
  </w:style>
  <w:style w:type="character" w:customStyle="1" w:styleId="70">
    <w:name w:val="标题 7 Char1"/>
    <w:qFormat/>
    <w:uiPriority w:val="0"/>
    <w:rPr>
      <w:rFonts w:ascii="Times New Roman" w:hAnsi="Times New Roman" w:eastAsia="仿宋_GB2312" w:cs="Times New Roman"/>
      <w:sz w:val="30"/>
      <w:szCs w:val="20"/>
    </w:rPr>
  </w:style>
  <w:style w:type="character" w:customStyle="1" w:styleId="71">
    <w:name w:val="标题 5 Char2"/>
    <w:link w:val="7"/>
    <w:qFormat/>
    <w:uiPriority w:val="0"/>
    <w:rPr>
      <w:rFonts w:ascii="宋体" w:hAnsi="宋体" w:eastAsia="宋体" w:cs="宋体"/>
      <w:b/>
      <w:bCs/>
      <w:lang w:val="en-US" w:eastAsia="zh-CN" w:bidi="ar-SA"/>
    </w:rPr>
  </w:style>
  <w:style w:type="character" w:customStyle="1" w:styleId="72">
    <w:name w:val="尾注文本 Char2"/>
    <w:semiHidden/>
    <w:qFormat/>
    <w:uiPriority w:val="99"/>
    <w:rPr>
      <w:rFonts w:ascii="Calibri" w:hAnsi="Calibri" w:eastAsia="宋体" w:cs="Times New Roman"/>
      <w:szCs w:val="24"/>
    </w:rPr>
  </w:style>
  <w:style w:type="character" w:customStyle="1" w:styleId="73">
    <w:name w:val="日期 Char1"/>
    <w:qFormat/>
    <w:uiPriority w:val="0"/>
    <w:rPr>
      <w:kern w:val="2"/>
      <w:sz w:val="21"/>
      <w:szCs w:val="22"/>
    </w:rPr>
  </w:style>
  <w:style w:type="character" w:customStyle="1" w:styleId="74">
    <w:name w:val="批注主题 Char3"/>
    <w:semiHidden/>
    <w:qFormat/>
    <w:uiPriority w:val="99"/>
    <w:rPr>
      <w:rFonts w:ascii="Calibri" w:hAnsi="Calibri" w:eastAsia="宋体" w:cs="Times New Roman"/>
      <w:b/>
      <w:bCs/>
      <w:szCs w:val="24"/>
    </w:rPr>
  </w:style>
  <w:style w:type="character" w:customStyle="1" w:styleId="75">
    <w:name w:val="普通文字 Char Char2"/>
    <w:qFormat/>
    <w:uiPriority w:val="0"/>
    <w:rPr>
      <w:rFonts w:ascii="宋体" w:hAnsi="Courier New"/>
      <w:kern w:val="2"/>
      <w:sz w:val="28"/>
      <w:szCs w:val="28"/>
    </w:rPr>
  </w:style>
  <w:style w:type="character" w:customStyle="1" w:styleId="76">
    <w:name w:val="正文文本缩进 2 Char"/>
    <w:qFormat/>
    <w:uiPriority w:val="0"/>
    <w:rPr>
      <w:kern w:val="2"/>
      <w:sz w:val="21"/>
      <w:szCs w:val="24"/>
    </w:rPr>
  </w:style>
  <w:style w:type="character" w:customStyle="1" w:styleId="77">
    <w:name w:val="l1"/>
    <w:basedOn w:val="47"/>
    <w:qFormat/>
    <w:uiPriority w:val="0"/>
  </w:style>
  <w:style w:type="character" w:customStyle="1" w:styleId="78">
    <w:name w:val="Char Char9"/>
    <w:qFormat/>
    <w:locked/>
    <w:uiPriority w:val="0"/>
    <w:rPr>
      <w:rFonts w:ascii="仿宋_GB2312" w:eastAsia="仿宋_GB2312" w:cs="MingLiU"/>
      <w:b/>
      <w:sz w:val="24"/>
      <w:szCs w:val="28"/>
      <w:lang w:val="en-US" w:eastAsia="zh-CN" w:bidi="ar-SA"/>
    </w:rPr>
  </w:style>
  <w:style w:type="character" w:customStyle="1" w:styleId="79">
    <w:name w:val="页眉 Char1"/>
    <w:semiHidden/>
    <w:qFormat/>
    <w:uiPriority w:val="99"/>
    <w:rPr>
      <w:kern w:val="2"/>
      <w:sz w:val="18"/>
      <w:szCs w:val="18"/>
    </w:rPr>
  </w:style>
  <w:style w:type="character" w:customStyle="1" w:styleId="80">
    <w:name w:val="Char Char32"/>
    <w:qFormat/>
    <w:uiPriority w:val="0"/>
    <w:rPr>
      <w:rFonts w:ascii="仿宋_GB2312" w:eastAsia="仿宋_GB2312" w:cs="MingLiU"/>
      <w:b/>
      <w:spacing w:val="1"/>
      <w:w w:val="99"/>
      <w:sz w:val="28"/>
      <w:szCs w:val="32"/>
    </w:rPr>
  </w:style>
  <w:style w:type="character" w:customStyle="1" w:styleId="81">
    <w:name w:val="Char Char22"/>
    <w:qFormat/>
    <w:uiPriority w:val="0"/>
    <w:rPr>
      <w:b/>
      <w:bCs/>
      <w:kern w:val="2"/>
      <w:sz w:val="32"/>
      <w:szCs w:val="32"/>
    </w:rPr>
  </w:style>
  <w:style w:type="character" w:customStyle="1" w:styleId="82">
    <w:name w:val="日期 Char3"/>
    <w:semiHidden/>
    <w:qFormat/>
    <w:uiPriority w:val="99"/>
    <w:rPr>
      <w:rFonts w:ascii="Calibri" w:hAnsi="Calibri" w:eastAsia="宋体" w:cs="Times New Roman"/>
      <w:szCs w:val="24"/>
    </w:rPr>
  </w:style>
  <w:style w:type="character" w:customStyle="1" w:styleId="83">
    <w:name w:val="日期 Char"/>
    <w:qFormat/>
    <w:uiPriority w:val="0"/>
    <w:rPr>
      <w:rFonts w:eastAsia="宋体"/>
      <w:szCs w:val="24"/>
    </w:rPr>
  </w:style>
  <w:style w:type="character" w:customStyle="1" w:styleId="84">
    <w:name w:val="HTML 预设格式 Char3"/>
    <w:link w:val="40"/>
    <w:qFormat/>
    <w:uiPriority w:val="0"/>
    <w:rPr>
      <w:rFonts w:ascii="宋体" w:hAnsi="宋体" w:eastAsia="宋体" w:cs="宋体"/>
      <w:color w:val="000000"/>
      <w:sz w:val="24"/>
      <w:szCs w:val="24"/>
      <w:lang w:val="en-US" w:eastAsia="zh-CN" w:bidi="ar-SA"/>
    </w:rPr>
  </w:style>
  <w:style w:type="character" w:customStyle="1" w:styleId="85">
    <w:name w:val="font161"/>
    <w:qFormat/>
    <w:uiPriority w:val="0"/>
    <w:rPr>
      <w:b/>
      <w:bCs/>
      <w:sz w:val="32"/>
      <w:szCs w:val="32"/>
    </w:rPr>
  </w:style>
  <w:style w:type="character" w:customStyle="1" w:styleId="86">
    <w:name w:val="HTML 预设格式 Char2"/>
    <w:semiHidden/>
    <w:qFormat/>
    <w:uiPriority w:val="99"/>
    <w:rPr>
      <w:rFonts w:ascii="Courier New" w:hAnsi="Courier New" w:eastAsia="宋体" w:cs="Courier New"/>
      <w:sz w:val="20"/>
      <w:szCs w:val="20"/>
    </w:rPr>
  </w:style>
  <w:style w:type="character" w:customStyle="1" w:styleId="87">
    <w:name w:val="Char Char13"/>
    <w:qFormat/>
    <w:uiPriority w:val="0"/>
    <w:rPr>
      <w:kern w:val="2"/>
      <w:sz w:val="18"/>
      <w:szCs w:val="18"/>
    </w:rPr>
  </w:style>
  <w:style w:type="character" w:customStyle="1" w:styleId="88">
    <w:name w:val="正文文本 Char"/>
    <w:qFormat/>
    <w:uiPriority w:val="0"/>
    <w:rPr>
      <w:sz w:val="26"/>
      <w:szCs w:val="24"/>
    </w:rPr>
  </w:style>
  <w:style w:type="character" w:customStyle="1" w:styleId="89">
    <w:name w:val="副标题 Char2"/>
    <w:qFormat/>
    <w:uiPriority w:val="11"/>
    <w:rPr>
      <w:rFonts w:ascii="Cambria" w:hAnsi="Cambria" w:eastAsia="宋体" w:cs="Times New Roman"/>
      <w:b/>
      <w:bCs/>
      <w:kern w:val="28"/>
      <w:sz w:val="32"/>
      <w:szCs w:val="32"/>
    </w:rPr>
  </w:style>
  <w:style w:type="character" w:customStyle="1" w:styleId="90">
    <w:name w:val="明显引用 Char4"/>
    <w:link w:val="91"/>
    <w:qFormat/>
    <w:uiPriority w:val="0"/>
    <w:rPr>
      <w:b/>
      <w:bCs/>
      <w:i/>
      <w:iCs/>
      <w:color w:val="4F81BD"/>
      <w:kern w:val="2"/>
      <w:sz w:val="21"/>
      <w:szCs w:val="22"/>
      <w:lang w:bidi="ar-SA"/>
    </w:rPr>
  </w:style>
  <w:style w:type="paragraph" w:styleId="91">
    <w:name w:val="Intense Quote"/>
    <w:basedOn w:val="1"/>
    <w:next w:val="1"/>
    <w:link w:val="90"/>
    <w:qFormat/>
    <w:uiPriority w:val="0"/>
    <w:pPr>
      <w:pBdr>
        <w:bottom w:val="single" w:color="4F81BD" w:sz="4" w:space="4"/>
      </w:pBdr>
      <w:spacing w:before="200" w:after="280"/>
      <w:ind w:left="936" w:right="936"/>
    </w:pPr>
    <w:rPr>
      <w:b/>
      <w:bCs/>
      <w:i/>
      <w:iCs/>
      <w:color w:val="4F81BD"/>
      <w:szCs w:val="22"/>
    </w:rPr>
  </w:style>
  <w:style w:type="character" w:customStyle="1" w:styleId="92">
    <w:name w:val="Char Char36"/>
    <w:qFormat/>
    <w:uiPriority w:val="0"/>
    <w:rPr>
      <w:rFonts w:ascii="仿宋_GB2312" w:eastAsia="仿宋_GB2312" w:cs="MingLiU"/>
      <w:b/>
      <w:sz w:val="24"/>
      <w:szCs w:val="28"/>
    </w:rPr>
  </w:style>
  <w:style w:type="character" w:customStyle="1" w:styleId="93">
    <w:name w:val="Char Char24"/>
    <w:qFormat/>
    <w:uiPriority w:val="0"/>
    <w:rPr>
      <w:b/>
      <w:bCs/>
      <w:kern w:val="44"/>
      <w:sz w:val="44"/>
      <w:szCs w:val="44"/>
    </w:rPr>
  </w:style>
  <w:style w:type="character" w:customStyle="1" w:styleId="94">
    <w:name w:val="引用 Char2"/>
    <w:qFormat/>
    <w:uiPriority w:val="99"/>
    <w:rPr>
      <w:i/>
      <w:iCs/>
      <w:color w:val="000000"/>
      <w:kern w:val="2"/>
      <w:sz w:val="21"/>
      <w:szCs w:val="24"/>
    </w:rPr>
  </w:style>
  <w:style w:type="character" w:customStyle="1" w:styleId="95">
    <w:name w:val="文档结构图 Char4"/>
    <w:link w:val="15"/>
    <w:qFormat/>
    <w:uiPriority w:val="0"/>
    <w:rPr>
      <w:rFonts w:eastAsia="宋体"/>
      <w:kern w:val="2"/>
      <w:sz w:val="21"/>
      <w:szCs w:val="24"/>
      <w:lang w:val="en-US" w:eastAsia="zh-CN" w:bidi="ar-SA"/>
    </w:rPr>
  </w:style>
  <w:style w:type="character" w:customStyle="1" w:styleId="96">
    <w:name w:val="批注主题 Char1"/>
    <w:qFormat/>
    <w:uiPriority w:val="0"/>
    <w:rPr>
      <w:b/>
      <w:bCs/>
      <w:kern w:val="2"/>
      <w:sz w:val="21"/>
      <w:szCs w:val="22"/>
    </w:rPr>
  </w:style>
  <w:style w:type="character" w:customStyle="1" w:styleId="97">
    <w:name w:val="标题 3 Char"/>
    <w:qFormat/>
    <w:uiPriority w:val="0"/>
    <w:rPr>
      <w:rFonts w:ascii="仿宋_GB2312" w:hAnsi="Calibri" w:eastAsia="仿宋_GB2312" w:cs="Times New Roman"/>
      <w:b/>
      <w:kern w:val="0"/>
      <w:sz w:val="24"/>
      <w:szCs w:val="28"/>
    </w:rPr>
  </w:style>
  <w:style w:type="character" w:customStyle="1" w:styleId="98">
    <w:name w:val="正文文本缩进 2 Char3"/>
    <w:link w:val="26"/>
    <w:qFormat/>
    <w:uiPriority w:val="0"/>
    <w:rPr>
      <w:rFonts w:eastAsia="宋体"/>
      <w:sz w:val="28"/>
      <w:szCs w:val="24"/>
      <w:lang w:val="en-US" w:eastAsia="zh-CN" w:bidi="ar-SA"/>
    </w:rPr>
  </w:style>
  <w:style w:type="character" w:customStyle="1" w:styleId="99">
    <w:name w:val="副标题 Char"/>
    <w:qFormat/>
    <w:uiPriority w:val="0"/>
    <w:rPr>
      <w:rFonts w:ascii="Cambria" w:hAnsi="Cambria" w:eastAsia="宋体" w:cs="Times New Roman"/>
      <w:b/>
      <w:bCs/>
      <w:kern w:val="28"/>
      <w:sz w:val="32"/>
      <w:szCs w:val="32"/>
    </w:rPr>
  </w:style>
  <w:style w:type="character" w:customStyle="1" w:styleId="100">
    <w:name w:val="引用 Char1"/>
    <w:link w:val="101"/>
    <w:qFormat/>
    <w:uiPriority w:val="29"/>
    <w:rPr>
      <w:i/>
      <w:iCs/>
      <w:color w:val="000000"/>
      <w:kern w:val="2"/>
      <w:sz w:val="21"/>
    </w:rPr>
  </w:style>
  <w:style w:type="paragraph" w:customStyle="1" w:styleId="101">
    <w:name w:val="引用1"/>
    <w:basedOn w:val="1"/>
    <w:next w:val="1"/>
    <w:link w:val="100"/>
    <w:qFormat/>
    <w:uiPriority w:val="29"/>
    <w:rPr>
      <w:i/>
      <w:iCs/>
      <w:color w:val="000000"/>
      <w:szCs w:val="20"/>
    </w:rPr>
  </w:style>
  <w:style w:type="character" w:customStyle="1" w:styleId="102">
    <w:name w:val="标题 7 Char2"/>
    <w:link w:val="10"/>
    <w:qFormat/>
    <w:uiPriority w:val="0"/>
    <w:rPr>
      <w:rFonts w:eastAsia="仿宋_GB2312"/>
      <w:sz w:val="30"/>
      <w:lang w:val="en-US" w:eastAsia="zh-CN" w:bidi="ar-SA"/>
    </w:rPr>
  </w:style>
  <w:style w:type="character" w:customStyle="1" w:styleId="103">
    <w:name w:val="标题 6 Char"/>
    <w:qFormat/>
    <w:uiPriority w:val="0"/>
    <w:rPr>
      <w:rFonts w:ascii="Arial" w:hAnsi="Arial" w:eastAsia="黑体" w:cs="Times New Roman"/>
      <w:b/>
      <w:bCs/>
      <w:sz w:val="24"/>
      <w:szCs w:val="24"/>
    </w:rPr>
  </w:style>
  <w:style w:type="character" w:customStyle="1" w:styleId="104">
    <w:name w:val="不明显参考1"/>
    <w:qFormat/>
    <w:uiPriority w:val="0"/>
    <w:rPr>
      <w:smallCaps/>
      <w:color w:val="C0504D"/>
      <w:u w:val="single"/>
    </w:rPr>
  </w:style>
  <w:style w:type="character" w:customStyle="1" w:styleId="105">
    <w:name w:val="s3"/>
    <w:qFormat/>
    <w:uiPriority w:val="0"/>
  </w:style>
  <w:style w:type="character" w:customStyle="1" w:styleId="106">
    <w:name w:val="标题 5 Char"/>
    <w:qFormat/>
    <w:uiPriority w:val="0"/>
    <w:rPr>
      <w:rFonts w:ascii="Calibri" w:hAnsi="Calibri" w:eastAsia="宋体" w:cs="Times New Roman"/>
      <w:b/>
      <w:bCs/>
      <w:sz w:val="28"/>
      <w:szCs w:val="28"/>
    </w:rPr>
  </w:style>
  <w:style w:type="character" w:customStyle="1" w:styleId="107">
    <w:name w:val="style31"/>
    <w:qFormat/>
    <w:uiPriority w:val="0"/>
    <w:rPr>
      <w:sz w:val="10"/>
      <w:szCs w:val="10"/>
    </w:rPr>
  </w:style>
  <w:style w:type="character" w:customStyle="1" w:styleId="108">
    <w:name w:val="Char Char17"/>
    <w:qFormat/>
    <w:uiPriority w:val="0"/>
    <w:rPr>
      <w:kern w:val="2"/>
      <w:sz w:val="26"/>
      <w:szCs w:val="24"/>
    </w:rPr>
  </w:style>
  <w:style w:type="character" w:customStyle="1" w:styleId="109">
    <w:name w:val="尾注文本 Char"/>
    <w:qFormat/>
    <w:uiPriority w:val="0"/>
    <w:rPr>
      <w:kern w:val="2"/>
      <w:sz w:val="21"/>
      <w:szCs w:val="24"/>
    </w:rPr>
  </w:style>
  <w:style w:type="character" w:customStyle="1" w:styleId="110">
    <w:name w:val="标题 2 Char"/>
    <w:qFormat/>
    <w:uiPriority w:val="0"/>
    <w:rPr>
      <w:rFonts w:ascii="仿宋_GB2312" w:hAnsi="Calibri" w:eastAsia="仿宋_GB2312" w:cs="Times New Roman"/>
      <w:b/>
      <w:spacing w:val="1"/>
      <w:w w:val="99"/>
      <w:kern w:val="0"/>
      <w:sz w:val="28"/>
      <w:szCs w:val="32"/>
    </w:rPr>
  </w:style>
  <w:style w:type="character" w:customStyle="1" w:styleId="111">
    <w:name w:val="main_tdbg_7601"/>
    <w:qFormat/>
    <w:uiPriority w:val="0"/>
    <w:rPr>
      <w:sz w:val="14"/>
      <w:szCs w:val="14"/>
    </w:rPr>
  </w:style>
  <w:style w:type="character" w:customStyle="1" w:styleId="112">
    <w:name w:val="标题 3 Char1"/>
    <w:qFormat/>
    <w:uiPriority w:val="0"/>
    <w:rPr>
      <w:rFonts w:ascii="Times New Roman" w:hAnsi="Times New Roman" w:eastAsia="宋体" w:cs="Times New Roman"/>
      <w:b/>
      <w:bCs/>
      <w:kern w:val="2"/>
      <w:sz w:val="32"/>
      <w:szCs w:val="32"/>
    </w:rPr>
  </w:style>
  <w:style w:type="character" w:customStyle="1" w:styleId="113">
    <w:name w:val="标题 2 Char2"/>
    <w:link w:val="4"/>
    <w:qFormat/>
    <w:uiPriority w:val="0"/>
    <w:rPr>
      <w:rFonts w:ascii="Cambria" w:hAnsi="Cambria" w:eastAsia="宋体"/>
      <w:b/>
      <w:bCs/>
      <w:kern w:val="2"/>
      <w:sz w:val="32"/>
      <w:szCs w:val="32"/>
      <w:lang w:val="en-US" w:eastAsia="zh-CN" w:bidi="ar-SA"/>
    </w:rPr>
  </w:style>
  <w:style w:type="character" w:customStyle="1" w:styleId="114">
    <w:name w:val="正文文本缩进 2 Char1"/>
    <w:qFormat/>
    <w:uiPriority w:val="0"/>
    <w:rPr>
      <w:sz w:val="28"/>
      <w:szCs w:val="24"/>
    </w:rPr>
  </w:style>
  <w:style w:type="character" w:customStyle="1" w:styleId="115">
    <w:name w:val="副标题 Char1"/>
    <w:qFormat/>
    <w:uiPriority w:val="0"/>
    <w:rPr>
      <w:szCs w:val="24"/>
      <w:u w:val="single"/>
      <w:lang w:eastAsia="en-US"/>
    </w:rPr>
  </w:style>
  <w:style w:type="character" w:customStyle="1" w:styleId="116">
    <w:name w:val="正文文本 3 Char"/>
    <w:qFormat/>
    <w:uiPriority w:val="0"/>
    <w:rPr>
      <w:kern w:val="2"/>
      <w:sz w:val="16"/>
      <w:szCs w:val="16"/>
    </w:rPr>
  </w:style>
  <w:style w:type="character" w:customStyle="1" w:styleId="117">
    <w:name w:val="标题 6 Char1"/>
    <w:qFormat/>
    <w:uiPriority w:val="0"/>
    <w:rPr>
      <w:rFonts w:ascii="Times New Roman" w:hAnsi="Arial" w:eastAsia="仿宋_GB2312" w:cs="Times New Roman"/>
      <w:sz w:val="30"/>
      <w:szCs w:val="20"/>
    </w:rPr>
  </w:style>
  <w:style w:type="character" w:customStyle="1" w:styleId="118">
    <w:name w:val="副标题 Char3"/>
    <w:link w:val="33"/>
    <w:qFormat/>
    <w:uiPriority w:val="0"/>
    <w:rPr>
      <w:rFonts w:eastAsia="宋体"/>
      <w:szCs w:val="24"/>
      <w:u w:val="single"/>
      <w:lang w:val="en-US" w:eastAsia="en-US" w:bidi="ar-SA"/>
    </w:rPr>
  </w:style>
  <w:style w:type="character" w:customStyle="1" w:styleId="119">
    <w:name w:val="normaltext1"/>
    <w:qFormat/>
    <w:uiPriority w:val="0"/>
    <w:rPr>
      <w:rFonts w:hint="default" w:ascii="ˎ̥" w:hAnsi="ˎ̥"/>
      <w:sz w:val="9"/>
      <w:szCs w:val="9"/>
    </w:rPr>
  </w:style>
  <w:style w:type="character" w:customStyle="1" w:styleId="120">
    <w:name w:val="ss16"/>
    <w:qFormat/>
    <w:uiPriority w:val="0"/>
    <w:rPr>
      <w:rFonts w:hint="eastAsia" w:ascii="宋体" w:hAnsi="宋体" w:eastAsia="宋体"/>
      <w:color w:val="000000"/>
      <w:sz w:val="9"/>
      <w:szCs w:val="9"/>
    </w:rPr>
  </w:style>
  <w:style w:type="character" w:customStyle="1" w:styleId="121">
    <w:name w:val="引用 Char4"/>
    <w:link w:val="122"/>
    <w:qFormat/>
    <w:uiPriority w:val="0"/>
    <w:rPr>
      <w:i/>
      <w:iCs/>
      <w:color w:val="000000"/>
      <w:kern w:val="2"/>
      <w:sz w:val="21"/>
      <w:szCs w:val="22"/>
      <w:lang w:bidi="ar-SA"/>
    </w:rPr>
  </w:style>
  <w:style w:type="paragraph" w:styleId="122">
    <w:name w:val="Quote"/>
    <w:basedOn w:val="1"/>
    <w:next w:val="1"/>
    <w:link w:val="121"/>
    <w:qFormat/>
    <w:uiPriority w:val="0"/>
    <w:rPr>
      <w:i/>
      <w:iCs/>
      <w:color w:val="000000"/>
      <w:szCs w:val="22"/>
    </w:rPr>
  </w:style>
  <w:style w:type="character" w:customStyle="1" w:styleId="123">
    <w:name w:val="批注框文本 Char3"/>
    <w:semiHidden/>
    <w:qFormat/>
    <w:uiPriority w:val="99"/>
    <w:rPr>
      <w:rFonts w:ascii="Calibri" w:hAnsi="Calibri" w:eastAsia="宋体" w:cs="Times New Roman"/>
      <w:sz w:val="18"/>
      <w:szCs w:val="18"/>
    </w:rPr>
  </w:style>
  <w:style w:type="character" w:customStyle="1" w:styleId="124">
    <w:name w:val="标题 6 Char2"/>
    <w:link w:val="8"/>
    <w:qFormat/>
    <w:uiPriority w:val="0"/>
    <w:rPr>
      <w:rFonts w:hAnsi="Arial" w:eastAsia="仿宋_GB2312"/>
      <w:sz w:val="30"/>
      <w:lang w:val="en-US" w:eastAsia="zh-CN" w:bidi="ar-SA"/>
    </w:rPr>
  </w:style>
  <w:style w:type="character" w:customStyle="1" w:styleId="125">
    <w:name w:val="页脚 Char"/>
    <w:qFormat/>
    <w:uiPriority w:val="0"/>
    <w:rPr>
      <w:sz w:val="18"/>
      <w:szCs w:val="18"/>
    </w:rPr>
  </w:style>
  <w:style w:type="character" w:customStyle="1" w:styleId="126">
    <w:name w:val="Char Char35"/>
    <w:qFormat/>
    <w:uiPriority w:val="0"/>
    <w:rPr>
      <w:rFonts w:ascii="仿宋_GB2312" w:eastAsia="仿宋_GB2312" w:cs="MingLiU"/>
      <w:b/>
      <w:sz w:val="24"/>
      <w:szCs w:val="28"/>
    </w:rPr>
  </w:style>
  <w:style w:type="character" w:customStyle="1" w:styleId="127">
    <w:name w:val="正文文本缩进 Char"/>
    <w:qFormat/>
    <w:uiPriority w:val="0"/>
    <w:rPr>
      <w:rFonts w:ascii="黑体" w:hAnsi="宋体" w:eastAsia="黑体"/>
      <w:color w:val="000000"/>
      <w:sz w:val="28"/>
      <w:szCs w:val="32"/>
    </w:rPr>
  </w:style>
  <w:style w:type="character" w:customStyle="1" w:styleId="128">
    <w:name w:val="不明显强调11"/>
    <w:qFormat/>
    <w:uiPriority w:val="0"/>
    <w:rPr>
      <w:i/>
      <w:iCs/>
      <w:color w:val="808080"/>
    </w:rPr>
  </w:style>
  <w:style w:type="character" w:customStyle="1" w:styleId="129">
    <w:name w:val="标题4 Char Char"/>
    <w:link w:val="130"/>
    <w:qFormat/>
    <w:uiPriority w:val="0"/>
    <w:rPr>
      <w:rFonts w:ascii="Arial" w:hAnsi="Arial"/>
      <w:b/>
      <w:bCs/>
      <w:sz w:val="24"/>
      <w:szCs w:val="32"/>
      <w:lang w:bidi="ar-SA"/>
    </w:rPr>
  </w:style>
  <w:style w:type="paragraph" w:customStyle="1" w:styleId="130">
    <w:name w:val="标题4"/>
    <w:basedOn w:val="4"/>
    <w:next w:val="20"/>
    <w:link w:val="129"/>
    <w:qFormat/>
    <w:uiPriority w:val="0"/>
    <w:pPr>
      <w:spacing w:line="413" w:lineRule="auto"/>
    </w:pPr>
    <w:rPr>
      <w:rFonts w:ascii="Arial" w:hAnsi="Arial"/>
      <w:kern w:val="0"/>
      <w:sz w:val="24"/>
    </w:rPr>
  </w:style>
  <w:style w:type="character" w:customStyle="1" w:styleId="131">
    <w:name w:val="脚注文本 Char2"/>
    <w:semiHidden/>
    <w:qFormat/>
    <w:uiPriority w:val="99"/>
    <w:rPr>
      <w:rFonts w:ascii="Calibri" w:hAnsi="Calibri" w:eastAsia="宋体" w:cs="Times New Roman"/>
      <w:sz w:val="18"/>
      <w:szCs w:val="18"/>
    </w:rPr>
  </w:style>
  <w:style w:type="character" w:customStyle="1" w:styleId="132">
    <w:name w:val="正文文本缩进 Char1"/>
    <w:qFormat/>
    <w:uiPriority w:val="0"/>
    <w:rPr>
      <w:kern w:val="2"/>
      <w:sz w:val="21"/>
      <w:szCs w:val="24"/>
    </w:rPr>
  </w:style>
  <w:style w:type="character" w:customStyle="1" w:styleId="133">
    <w:name w:val="尾注文本 Char1"/>
    <w:qFormat/>
    <w:uiPriority w:val="0"/>
    <w:rPr>
      <w:rFonts w:ascii="Arial" w:hAnsi="Arial" w:cs="Arial"/>
      <w:szCs w:val="24"/>
      <w:lang w:eastAsia="en-US"/>
    </w:rPr>
  </w:style>
  <w:style w:type="character" w:customStyle="1" w:styleId="134">
    <w:name w:val="textcontents"/>
    <w:qFormat/>
    <w:uiPriority w:val="0"/>
    <w:rPr>
      <w:rFonts w:cs="Times New Roman"/>
    </w:rPr>
  </w:style>
  <w:style w:type="character" w:customStyle="1" w:styleId="135">
    <w:name w:val="docpro"/>
    <w:basedOn w:val="47"/>
    <w:qFormat/>
    <w:uiPriority w:val="0"/>
  </w:style>
  <w:style w:type="character" w:customStyle="1" w:styleId="136">
    <w:name w:val="批注文字 Char1"/>
    <w:qFormat/>
    <w:uiPriority w:val="99"/>
    <w:rPr>
      <w:rFonts w:ascii="Times New Roman" w:hAnsi="Times New Roman" w:eastAsia="宋体" w:cs="Times New Roman"/>
      <w:szCs w:val="24"/>
    </w:rPr>
  </w:style>
  <w:style w:type="character" w:customStyle="1" w:styleId="137">
    <w:name w:val="unnamed1"/>
    <w:basedOn w:val="47"/>
    <w:qFormat/>
    <w:uiPriority w:val="0"/>
  </w:style>
  <w:style w:type="character" w:customStyle="1" w:styleId="138">
    <w:name w:val="标题 1 Char2"/>
    <w:link w:val="3"/>
    <w:qFormat/>
    <w:uiPriority w:val="0"/>
    <w:rPr>
      <w:rFonts w:eastAsia="宋体"/>
      <w:b/>
      <w:bCs/>
      <w:kern w:val="44"/>
      <w:sz w:val="44"/>
      <w:szCs w:val="44"/>
      <w:lang w:val="en-US" w:eastAsia="zh-CN" w:bidi="ar-SA"/>
    </w:rPr>
  </w:style>
  <w:style w:type="character" w:customStyle="1" w:styleId="139">
    <w:name w:val="明显引用 Char2"/>
    <w:qFormat/>
    <w:uiPriority w:val="99"/>
    <w:rPr>
      <w:b/>
      <w:bCs/>
      <w:i/>
      <w:iCs/>
      <w:color w:val="4F81BD"/>
      <w:kern w:val="2"/>
      <w:sz w:val="21"/>
      <w:szCs w:val="24"/>
    </w:rPr>
  </w:style>
  <w:style w:type="character" w:customStyle="1" w:styleId="140">
    <w:name w:val="明显强调1"/>
    <w:qFormat/>
    <w:uiPriority w:val="0"/>
    <w:rPr>
      <w:b/>
      <w:bCs/>
      <w:i/>
      <w:iCs/>
      <w:color w:val="4F81BD"/>
    </w:rPr>
  </w:style>
  <w:style w:type="character" w:customStyle="1" w:styleId="141">
    <w:name w:val="不明显参考11"/>
    <w:qFormat/>
    <w:uiPriority w:val="0"/>
    <w:rPr>
      <w:smallCaps/>
      <w:color w:val="C0504D"/>
      <w:u w:val="single"/>
    </w:rPr>
  </w:style>
  <w:style w:type="character" w:customStyle="1" w:styleId="142">
    <w:name w:val="标题 Char2"/>
    <w:qFormat/>
    <w:uiPriority w:val="10"/>
    <w:rPr>
      <w:rFonts w:ascii="Cambria" w:hAnsi="Cambria" w:eastAsia="宋体" w:cs="Times New Roman"/>
      <w:b/>
      <w:bCs/>
      <w:sz w:val="32"/>
      <w:szCs w:val="32"/>
    </w:rPr>
  </w:style>
  <w:style w:type="character" w:customStyle="1" w:styleId="143">
    <w:name w:val="正文文本缩进 Char3"/>
    <w:link w:val="18"/>
    <w:qFormat/>
    <w:uiPriority w:val="0"/>
    <w:rPr>
      <w:rFonts w:eastAsia="宋体"/>
      <w:kern w:val="2"/>
      <w:sz w:val="21"/>
      <w:szCs w:val="24"/>
      <w:lang w:val="en-US" w:eastAsia="zh-CN" w:bidi="ar-SA"/>
    </w:rPr>
  </w:style>
  <w:style w:type="character" w:customStyle="1" w:styleId="144">
    <w:name w:val="style121"/>
    <w:qFormat/>
    <w:uiPriority w:val="0"/>
    <w:rPr>
      <w:rFonts w:hint="eastAsia" w:ascii="宋体" w:hAnsi="宋体" w:eastAsia="宋体"/>
      <w:sz w:val="18"/>
      <w:szCs w:val="18"/>
    </w:rPr>
  </w:style>
  <w:style w:type="character" w:customStyle="1" w:styleId="145">
    <w:name w:val="style21"/>
    <w:qFormat/>
    <w:uiPriority w:val="0"/>
    <w:rPr>
      <w:b/>
      <w:bCs/>
      <w:sz w:val="28"/>
      <w:szCs w:val="28"/>
    </w:rPr>
  </w:style>
  <w:style w:type="character" w:customStyle="1" w:styleId="146">
    <w:name w:val="0d1471"/>
    <w:qFormat/>
    <w:uiPriority w:val="0"/>
    <w:rPr>
      <w:color w:val="000000"/>
      <w:sz w:val="11"/>
      <w:szCs w:val="11"/>
      <w:u w:val="none"/>
    </w:rPr>
  </w:style>
  <w:style w:type="character" w:customStyle="1" w:styleId="147">
    <w:name w:val="标题 5 Char1"/>
    <w:qFormat/>
    <w:uiPriority w:val="0"/>
    <w:rPr>
      <w:rFonts w:ascii="宋体" w:hAnsi="宋体" w:eastAsia="宋体" w:cs="宋体"/>
      <w:b/>
      <w:bCs/>
      <w:sz w:val="20"/>
      <w:szCs w:val="20"/>
    </w:rPr>
  </w:style>
  <w:style w:type="character" w:customStyle="1" w:styleId="148">
    <w:name w:val="正文文本缩进 2 Char2"/>
    <w:semiHidden/>
    <w:qFormat/>
    <w:uiPriority w:val="99"/>
    <w:rPr>
      <w:rFonts w:ascii="Calibri" w:hAnsi="Calibri" w:eastAsia="宋体" w:cs="Times New Roman"/>
      <w:szCs w:val="24"/>
    </w:rPr>
  </w:style>
  <w:style w:type="character" w:customStyle="1" w:styleId="149">
    <w:name w:val="批注文字 Char Char"/>
    <w:qFormat/>
    <w:uiPriority w:val="0"/>
    <w:rPr>
      <w:rFonts w:ascii="宋体" w:hAnsi="Times New Roman" w:eastAsia="宋体" w:cs="Times New Roman"/>
      <w:sz w:val="28"/>
      <w:szCs w:val="20"/>
    </w:rPr>
  </w:style>
  <w:style w:type="character" w:customStyle="1" w:styleId="150">
    <w:name w:val="标题 3 Char2"/>
    <w:link w:val="5"/>
    <w:qFormat/>
    <w:uiPriority w:val="0"/>
    <w:rPr>
      <w:rFonts w:eastAsia="宋体"/>
      <w:b/>
      <w:bCs/>
      <w:kern w:val="2"/>
      <w:sz w:val="32"/>
      <w:szCs w:val="32"/>
      <w:lang w:val="en-US" w:eastAsia="zh-CN" w:bidi="ar-SA"/>
    </w:rPr>
  </w:style>
  <w:style w:type="character" w:customStyle="1" w:styleId="151">
    <w:name w:val="Char Char33"/>
    <w:qFormat/>
    <w:uiPriority w:val="0"/>
    <w:rPr>
      <w:rFonts w:ascii="仿宋_GB2312" w:eastAsia="仿宋_GB2312" w:cs="MingLiU"/>
      <w:b/>
      <w:sz w:val="24"/>
      <w:szCs w:val="28"/>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页脚 Char2"/>
    <w:link w:val="29"/>
    <w:qFormat/>
    <w:uiPriority w:val="0"/>
    <w:rPr>
      <w:rFonts w:eastAsia="宋体"/>
      <w:kern w:val="2"/>
      <w:sz w:val="18"/>
      <w:szCs w:val="18"/>
      <w:lang w:val="en-US" w:eastAsia="zh-CN" w:bidi="ar-SA"/>
    </w:rPr>
  </w:style>
  <w:style w:type="character" w:customStyle="1" w:styleId="154">
    <w:name w:val="标题 1 Char"/>
    <w:qFormat/>
    <w:uiPriority w:val="0"/>
    <w:rPr>
      <w:rFonts w:ascii="Times New Roman" w:hAnsi="Times New Roman" w:eastAsia="宋体" w:cs="Times New Roman"/>
      <w:b/>
      <w:bCs/>
      <w:kern w:val="44"/>
      <w:sz w:val="44"/>
      <w:szCs w:val="44"/>
    </w:rPr>
  </w:style>
  <w:style w:type="character" w:customStyle="1" w:styleId="155">
    <w:name w:val="HTML 预设格式 Char1"/>
    <w:qFormat/>
    <w:uiPriority w:val="0"/>
    <w:rPr>
      <w:rFonts w:ascii="宋体" w:hAnsi="宋体" w:cs="宋体"/>
      <w:color w:val="000000"/>
      <w:sz w:val="24"/>
      <w:szCs w:val="24"/>
    </w:rPr>
  </w:style>
  <w:style w:type="character" w:customStyle="1" w:styleId="156">
    <w:name w:val="正文文本 3 Char1"/>
    <w:qFormat/>
    <w:uiPriority w:val="0"/>
    <w:rPr>
      <w:kern w:val="2"/>
      <w:sz w:val="16"/>
      <w:szCs w:val="16"/>
    </w:rPr>
  </w:style>
  <w:style w:type="character" w:customStyle="1" w:styleId="157">
    <w:name w:val="批注主题 Char2"/>
    <w:qFormat/>
    <w:uiPriority w:val="99"/>
    <w:rPr>
      <w:b/>
      <w:bCs/>
      <w:kern w:val="2"/>
      <w:sz w:val="21"/>
      <w:szCs w:val="24"/>
    </w:rPr>
  </w:style>
  <w:style w:type="character" w:customStyle="1" w:styleId="158">
    <w:name w:val="Char Char12"/>
    <w:qFormat/>
    <w:uiPriority w:val="0"/>
    <w:rPr>
      <w:rFonts w:eastAsia="黑体"/>
      <w:kern w:val="2"/>
      <w:sz w:val="44"/>
      <w:szCs w:val="44"/>
      <w:lang w:val="en-US" w:eastAsia="zh-CN" w:bidi="ar-SA"/>
    </w:rPr>
  </w:style>
  <w:style w:type="character" w:customStyle="1" w:styleId="159">
    <w:name w:val="标题 2 Char1"/>
    <w:qFormat/>
    <w:uiPriority w:val="0"/>
    <w:rPr>
      <w:rFonts w:ascii="Cambria" w:hAnsi="Cambria" w:eastAsia="宋体" w:cs="Times New Roman"/>
      <w:b/>
      <w:bCs/>
      <w:kern w:val="2"/>
      <w:sz w:val="32"/>
      <w:szCs w:val="32"/>
    </w:rPr>
  </w:style>
  <w:style w:type="character" w:customStyle="1" w:styleId="160">
    <w:name w:val="页脚 Char1"/>
    <w:semiHidden/>
    <w:qFormat/>
    <w:uiPriority w:val="99"/>
    <w:rPr>
      <w:kern w:val="2"/>
      <w:sz w:val="18"/>
      <w:szCs w:val="18"/>
    </w:rPr>
  </w:style>
  <w:style w:type="character" w:customStyle="1" w:styleId="161">
    <w:name w:val="引用 Char3"/>
    <w:qFormat/>
    <w:uiPriority w:val="29"/>
    <w:rPr>
      <w:rFonts w:ascii="Calibri" w:hAnsi="Calibri" w:eastAsia="宋体" w:cs="Times New Roman"/>
      <w:i/>
      <w:iCs/>
      <w:color w:val="000000"/>
      <w:szCs w:val="24"/>
    </w:rPr>
  </w:style>
  <w:style w:type="character" w:customStyle="1" w:styleId="162">
    <w:name w:val="批注文字 Char3"/>
    <w:link w:val="16"/>
    <w:qFormat/>
    <w:uiPriority w:val="99"/>
    <w:rPr>
      <w:rFonts w:eastAsia="宋体"/>
      <w:kern w:val="2"/>
      <w:sz w:val="21"/>
      <w:szCs w:val="24"/>
      <w:lang w:val="en-US" w:eastAsia="zh-CN" w:bidi="ar-SA"/>
    </w:rPr>
  </w:style>
  <w:style w:type="character" w:customStyle="1" w:styleId="163">
    <w:name w:val="批注主题 Char4"/>
    <w:link w:val="44"/>
    <w:qFormat/>
    <w:uiPriority w:val="0"/>
    <w:rPr>
      <w:rFonts w:eastAsia="宋体"/>
      <w:b/>
      <w:bCs/>
      <w:kern w:val="2"/>
      <w:sz w:val="21"/>
      <w:szCs w:val="24"/>
      <w:lang w:val="en-US" w:eastAsia="zh-CN" w:bidi="ar-SA"/>
    </w:rPr>
  </w:style>
  <w:style w:type="character" w:customStyle="1" w:styleId="164">
    <w:name w:val="批注框文本 Char4"/>
    <w:link w:val="28"/>
    <w:qFormat/>
    <w:uiPriority w:val="0"/>
    <w:rPr>
      <w:rFonts w:eastAsia="宋体"/>
      <w:kern w:val="2"/>
      <w:sz w:val="18"/>
      <w:szCs w:val="18"/>
      <w:lang w:val="en-US" w:eastAsia="zh-CN" w:bidi="ar-SA"/>
    </w:rPr>
  </w:style>
  <w:style w:type="character" w:customStyle="1" w:styleId="165">
    <w:name w:val="Char Char23"/>
    <w:qFormat/>
    <w:uiPriority w:val="0"/>
    <w:rPr>
      <w:rFonts w:ascii="Cambria" w:hAnsi="Cambria" w:eastAsia="宋体" w:cs="Times New Roman"/>
      <w:b/>
      <w:bCs/>
      <w:kern w:val="2"/>
      <w:sz w:val="32"/>
      <w:szCs w:val="32"/>
    </w:rPr>
  </w:style>
  <w:style w:type="character" w:customStyle="1" w:styleId="166">
    <w:name w:val="标题 1 Char1"/>
    <w:qFormat/>
    <w:uiPriority w:val="0"/>
    <w:rPr>
      <w:rFonts w:ascii="Times New Roman" w:hAnsi="Times New Roman" w:eastAsia="宋体" w:cs="Times New Roman"/>
      <w:b/>
      <w:bCs/>
      <w:kern w:val="44"/>
      <w:sz w:val="44"/>
      <w:szCs w:val="44"/>
    </w:rPr>
  </w:style>
  <w:style w:type="character" w:customStyle="1" w:styleId="167">
    <w:name w:val="正文文本缩进 3 Char2"/>
    <w:semiHidden/>
    <w:qFormat/>
    <w:uiPriority w:val="99"/>
    <w:rPr>
      <w:rFonts w:ascii="Calibri" w:hAnsi="Calibri" w:eastAsia="宋体" w:cs="Times New Roman"/>
      <w:sz w:val="16"/>
      <w:szCs w:val="16"/>
    </w:rPr>
  </w:style>
  <w:style w:type="character" w:customStyle="1" w:styleId="168">
    <w:name w:val="正文文本 Char3"/>
    <w:semiHidden/>
    <w:qFormat/>
    <w:uiPriority w:val="99"/>
    <w:rPr>
      <w:rFonts w:ascii="Calibri" w:hAnsi="Calibri" w:eastAsia="宋体" w:cs="Times New Roman"/>
      <w:szCs w:val="24"/>
    </w:rPr>
  </w:style>
  <w:style w:type="character" w:customStyle="1" w:styleId="169">
    <w:name w:val="脚注文本 Char3"/>
    <w:link w:val="34"/>
    <w:qFormat/>
    <w:uiPriority w:val="0"/>
    <w:rPr>
      <w:rFonts w:ascii="Arial" w:hAnsi="Arial" w:eastAsia="宋体" w:cs="Arial"/>
      <w:sz w:val="18"/>
      <w:szCs w:val="18"/>
      <w:lang w:val="en-US" w:eastAsia="en-US" w:bidi="ar-SA"/>
    </w:rPr>
  </w:style>
  <w:style w:type="character" w:customStyle="1" w:styleId="170">
    <w:name w:val="书籍标题1"/>
    <w:qFormat/>
    <w:uiPriority w:val="0"/>
    <w:rPr>
      <w:b/>
      <w:bCs/>
      <w:smallCaps/>
      <w:spacing w:val="5"/>
    </w:rPr>
  </w:style>
  <w:style w:type="character" w:customStyle="1" w:styleId="171">
    <w:name w:val="纯文本 Char1"/>
    <w:qFormat/>
    <w:uiPriority w:val="0"/>
    <w:rPr>
      <w:rFonts w:ascii="宋体" w:hAnsi="Courier New" w:cs="Courier New"/>
      <w:kern w:val="2"/>
      <w:sz w:val="21"/>
      <w:szCs w:val="21"/>
    </w:rPr>
  </w:style>
  <w:style w:type="character" w:customStyle="1" w:styleId="172">
    <w:name w:val="脚注文本 Char1"/>
    <w:qFormat/>
    <w:uiPriority w:val="0"/>
    <w:rPr>
      <w:rFonts w:ascii="Arial" w:hAnsi="Arial" w:cs="Arial"/>
      <w:sz w:val="18"/>
      <w:szCs w:val="18"/>
      <w:lang w:eastAsia="en-US"/>
    </w:rPr>
  </w:style>
  <w:style w:type="character" w:customStyle="1" w:styleId="173">
    <w:name w:val="批注框文本 Char"/>
    <w:qFormat/>
    <w:uiPriority w:val="0"/>
    <w:rPr>
      <w:sz w:val="18"/>
      <w:szCs w:val="18"/>
    </w:rPr>
  </w:style>
  <w:style w:type="character" w:customStyle="1" w:styleId="174">
    <w:name w:val="Char Char14"/>
    <w:qFormat/>
    <w:uiPriority w:val="0"/>
    <w:rPr>
      <w:kern w:val="2"/>
      <w:sz w:val="18"/>
      <w:szCs w:val="18"/>
    </w:rPr>
  </w:style>
  <w:style w:type="character" w:customStyle="1" w:styleId="175">
    <w:name w:val="标题 Char1"/>
    <w:qFormat/>
    <w:uiPriority w:val="10"/>
    <w:rPr>
      <w:szCs w:val="24"/>
      <w:u w:val="single"/>
      <w:lang w:eastAsia="en-US"/>
    </w:rPr>
  </w:style>
  <w:style w:type="character" w:customStyle="1" w:styleId="176">
    <w:name w:val="Char Char11"/>
    <w:qFormat/>
    <w:locked/>
    <w:uiPriority w:val="0"/>
    <w:rPr>
      <w:rFonts w:eastAsia="黑体"/>
      <w:kern w:val="2"/>
      <w:sz w:val="44"/>
      <w:szCs w:val="44"/>
      <w:lang w:val="en-US" w:eastAsia="zh-CN" w:bidi="ar-SA"/>
    </w:rPr>
  </w:style>
  <w:style w:type="character" w:customStyle="1" w:styleId="177">
    <w:name w:val="文档结构图 Char3"/>
    <w:semiHidden/>
    <w:qFormat/>
    <w:uiPriority w:val="99"/>
    <w:rPr>
      <w:rFonts w:ascii="宋体" w:hAnsi="Calibri" w:eastAsia="宋体" w:cs="Times New Roman"/>
      <w:sz w:val="18"/>
      <w:szCs w:val="18"/>
    </w:rPr>
  </w:style>
  <w:style w:type="character" w:customStyle="1" w:styleId="178">
    <w:name w:val="纯文本 Char2"/>
    <w:semiHidden/>
    <w:qFormat/>
    <w:uiPriority w:val="99"/>
    <w:rPr>
      <w:rFonts w:ascii="宋体" w:hAnsi="Courier New" w:eastAsia="宋体" w:cs="Courier New"/>
      <w:szCs w:val="21"/>
    </w:rPr>
  </w:style>
  <w:style w:type="character" w:customStyle="1" w:styleId="179">
    <w:name w:val="纯文本 Char3"/>
    <w:link w:val="23"/>
    <w:qFormat/>
    <w:uiPriority w:val="0"/>
    <w:rPr>
      <w:rFonts w:ascii="宋体" w:hAnsi="Courier New" w:eastAsia="宋体" w:cs="Courier New"/>
      <w:kern w:val="2"/>
      <w:sz w:val="21"/>
      <w:szCs w:val="21"/>
      <w:lang w:val="en-US" w:eastAsia="zh-CN" w:bidi="ar-SA"/>
    </w:rPr>
  </w:style>
  <w:style w:type="character" w:customStyle="1" w:styleId="180">
    <w:name w:val="标题 4 Char1"/>
    <w:qFormat/>
    <w:uiPriority w:val="0"/>
    <w:rPr>
      <w:rFonts w:ascii="宋体" w:hAnsi="宋体" w:eastAsia="宋体" w:cs="宋体"/>
      <w:b/>
      <w:bCs/>
      <w:sz w:val="24"/>
      <w:szCs w:val="24"/>
    </w:rPr>
  </w:style>
  <w:style w:type="character" w:customStyle="1" w:styleId="181">
    <w:name w:val="HTML 预设格式 Char"/>
    <w:qFormat/>
    <w:uiPriority w:val="0"/>
    <w:rPr>
      <w:rFonts w:ascii="宋体" w:hAnsi="宋体" w:eastAsia="宋体" w:cs="宋体"/>
      <w:color w:val="000000"/>
      <w:sz w:val="24"/>
      <w:szCs w:val="24"/>
    </w:rPr>
  </w:style>
  <w:style w:type="character" w:customStyle="1" w:styleId="182">
    <w:name w:val="手改 Char Char"/>
    <w:qFormat/>
    <w:uiPriority w:val="0"/>
    <w:rPr>
      <w:kern w:val="2"/>
      <w:sz w:val="21"/>
      <w:szCs w:val="24"/>
    </w:rPr>
  </w:style>
  <w:style w:type="character" w:customStyle="1" w:styleId="183">
    <w:name w:val="ITTHEADER2 Char"/>
    <w:qFormat/>
    <w:uiPriority w:val="0"/>
    <w:rPr>
      <w:rFonts w:ascii="仿宋_GB2312" w:eastAsia="仿宋_GB2312" w:cs="MingLiU"/>
      <w:b/>
      <w:spacing w:val="1"/>
      <w:w w:val="99"/>
      <w:sz w:val="28"/>
      <w:szCs w:val="32"/>
      <w:lang w:val="en-US" w:eastAsia="zh-CN" w:bidi="ar-SA"/>
    </w:rPr>
  </w:style>
  <w:style w:type="character" w:customStyle="1" w:styleId="184">
    <w:name w:val="批注文字 Char"/>
    <w:qFormat/>
    <w:uiPriority w:val="0"/>
    <w:rPr>
      <w:rFonts w:ascii="Times New Roman" w:hAnsi="Times New Roman" w:eastAsia="宋体" w:cs="Times New Roman"/>
      <w:kern w:val="2"/>
      <w:sz w:val="21"/>
      <w:szCs w:val="24"/>
    </w:rPr>
  </w:style>
  <w:style w:type="character" w:customStyle="1" w:styleId="185">
    <w:name w:val="标题 4 Char2"/>
    <w:link w:val="6"/>
    <w:qFormat/>
    <w:uiPriority w:val="0"/>
    <w:rPr>
      <w:rFonts w:ascii="宋体" w:hAnsi="宋体" w:eastAsia="宋体" w:cs="宋体"/>
      <w:b/>
      <w:bCs/>
      <w:sz w:val="24"/>
      <w:szCs w:val="24"/>
      <w:lang w:val="en-US" w:eastAsia="zh-CN" w:bidi="ar-SA"/>
    </w:rPr>
  </w:style>
  <w:style w:type="character" w:customStyle="1" w:styleId="186">
    <w:name w:val="标题 Char"/>
    <w:qFormat/>
    <w:uiPriority w:val="0"/>
    <w:rPr>
      <w:rFonts w:ascii="Cambria" w:hAnsi="Cambria" w:eastAsia="宋体" w:cs="Times New Roman"/>
      <w:b/>
      <w:bCs/>
      <w:kern w:val="2"/>
      <w:sz w:val="32"/>
      <w:szCs w:val="32"/>
    </w:rPr>
  </w:style>
  <w:style w:type="character" w:customStyle="1" w:styleId="187">
    <w:name w:val="书籍标题11"/>
    <w:qFormat/>
    <w:uiPriority w:val="0"/>
    <w:rPr>
      <w:b/>
      <w:bCs/>
      <w:smallCaps/>
      <w:spacing w:val="5"/>
    </w:rPr>
  </w:style>
  <w:style w:type="character" w:customStyle="1" w:styleId="188">
    <w:name w:val="脚注文本 Char"/>
    <w:qFormat/>
    <w:uiPriority w:val="0"/>
    <w:rPr>
      <w:rFonts w:ascii="Arial" w:hAnsi="Arial" w:eastAsia="宋体" w:cs="Arial"/>
      <w:sz w:val="18"/>
      <w:szCs w:val="18"/>
      <w:lang w:eastAsia="en-US"/>
    </w:rPr>
  </w:style>
  <w:style w:type="character" w:customStyle="1" w:styleId="189">
    <w:name w:val="正文文本 Char4"/>
    <w:link w:val="2"/>
    <w:qFormat/>
    <w:uiPriority w:val="0"/>
    <w:rPr>
      <w:rFonts w:eastAsia="宋体"/>
      <w:kern w:val="2"/>
      <w:sz w:val="21"/>
      <w:szCs w:val="24"/>
      <w:lang w:val="en-US" w:eastAsia="zh-CN" w:bidi="ar-SA"/>
    </w:rPr>
  </w:style>
  <w:style w:type="character" w:customStyle="1" w:styleId="190">
    <w:name w:val="标题 Char3"/>
    <w:link w:val="43"/>
    <w:qFormat/>
    <w:uiPriority w:val="0"/>
    <w:rPr>
      <w:rFonts w:eastAsia="宋体"/>
      <w:szCs w:val="24"/>
      <w:u w:val="single"/>
      <w:lang w:val="en-US" w:eastAsia="en-US" w:bidi="ar-SA"/>
    </w:rPr>
  </w:style>
  <w:style w:type="character" w:customStyle="1" w:styleId="191">
    <w:name w:val="批注文字 Char2"/>
    <w:qFormat/>
    <w:uiPriority w:val="0"/>
    <w:rPr>
      <w:rFonts w:ascii="Calibri" w:hAnsi="Calibri" w:eastAsia="宋体" w:cs="Times New Roman"/>
      <w:szCs w:val="24"/>
    </w:rPr>
  </w:style>
  <w:style w:type="character" w:customStyle="1" w:styleId="192">
    <w:name w:val="Char Char21"/>
    <w:qFormat/>
    <w:uiPriority w:val="0"/>
    <w:rPr>
      <w:rFonts w:ascii="宋体" w:hAnsi="宋体" w:cs="宋体"/>
      <w:b/>
      <w:bCs/>
      <w:sz w:val="24"/>
      <w:szCs w:val="24"/>
    </w:rPr>
  </w:style>
  <w:style w:type="character" w:customStyle="1" w:styleId="193">
    <w:name w:val="尾注文本 Char3"/>
    <w:link w:val="27"/>
    <w:qFormat/>
    <w:uiPriority w:val="0"/>
    <w:rPr>
      <w:rFonts w:ascii="Arial" w:hAnsi="Arial" w:eastAsia="宋体" w:cs="Arial"/>
      <w:szCs w:val="24"/>
      <w:lang w:val="en-US" w:eastAsia="en-US" w:bidi="ar-SA"/>
    </w:rPr>
  </w:style>
  <w:style w:type="character" w:customStyle="1" w:styleId="194">
    <w:name w:val="文档结构图 Char1"/>
    <w:qFormat/>
    <w:uiPriority w:val="0"/>
    <w:rPr>
      <w:rFonts w:ascii="宋体"/>
      <w:kern w:val="2"/>
      <w:sz w:val="18"/>
      <w:szCs w:val="18"/>
    </w:rPr>
  </w:style>
  <w:style w:type="character" w:customStyle="1" w:styleId="195">
    <w:name w:val="页眉 Char"/>
    <w:qFormat/>
    <w:uiPriority w:val="0"/>
    <w:rPr>
      <w:sz w:val="18"/>
      <w:szCs w:val="18"/>
    </w:rPr>
  </w:style>
  <w:style w:type="character" w:customStyle="1" w:styleId="196">
    <w:name w:val="页眉 Char2"/>
    <w:link w:val="30"/>
    <w:qFormat/>
    <w:uiPriority w:val="0"/>
    <w:rPr>
      <w:rFonts w:eastAsia="宋体"/>
      <w:kern w:val="2"/>
      <w:sz w:val="18"/>
      <w:szCs w:val="18"/>
      <w:lang w:val="en-US" w:eastAsia="zh-CN" w:bidi="ar-SA"/>
    </w:rPr>
  </w:style>
  <w:style w:type="character" w:customStyle="1" w:styleId="197">
    <w:name w:val="标题 8 Char1"/>
    <w:qFormat/>
    <w:uiPriority w:val="0"/>
    <w:rPr>
      <w:rFonts w:ascii="Times New Roman" w:hAnsi="Arial" w:eastAsia="仿宋_GB2312" w:cs="Times New Roman"/>
      <w:sz w:val="30"/>
      <w:szCs w:val="20"/>
    </w:rPr>
  </w:style>
  <w:style w:type="character" w:customStyle="1" w:styleId="198">
    <w:name w:val="明显引用 Char3"/>
    <w:qFormat/>
    <w:uiPriority w:val="30"/>
    <w:rPr>
      <w:rFonts w:ascii="Calibri" w:hAnsi="Calibri" w:eastAsia="宋体" w:cs="Times New Roman"/>
      <w:b/>
      <w:bCs/>
      <w:i/>
      <w:iCs/>
      <w:color w:val="4F81BD"/>
      <w:szCs w:val="24"/>
    </w:rPr>
  </w:style>
  <w:style w:type="character" w:customStyle="1" w:styleId="199">
    <w:name w:val="标题 8 Char"/>
    <w:qFormat/>
    <w:uiPriority w:val="0"/>
    <w:rPr>
      <w:rFonts w:ascii="Arial" w:hAnsi="Arial" w:eastAsia="黑体" w:cs="Times New Roman"/>
      <w:sz w:val="24"/>
      <w:szCs w:val="24"/>
    </w:rPr>
  </w:style>
  <w:style w:type="character" w:customStyle="1" w:styleId="200">
    <w:name w:val="明显引用 Char1"/>
    <w:link w:val="201"/>
    <w:qFormat/>
    <w:uiPriority w:val="30"/>
    <w:rPr>
      <w:b/>
      <w:bCs/>
      <w:i/>
      <w:iCs/>
      <w:color w:val="4F81BD"/>
      <w:kern w:val="2"/>
      <w:sz w:val="21"/>
    </w:rPr>
  </w:style>
  <w:style w:type="paragraph" w:customStyle="1" w:styleId="201">
    <w:name w:val="明显引用1"/>
    <w:basedOn w:val="1"/>
    <w:next w:val="1"/>
    <w:link w:val="200"/>
    <w:qFormat/>
    <w:uiPriority w:val="30"/>
    <w:pPr>
      <w:pBdr>
        <w:bottom w:val="single" w:color="4F81BD" w:sz="4" w:space="4"/>
      </w:pBdr>
      <w:spacing w:before="200" w:after="280"/>
      <w:ind w:left="936" w:right="936"/>
    </w:pPr>
    <w:rPr>
      <w:b/>
      <w:bCs/>
      <w:i/>
      <w:iCs/>
      <w:color w:val="4F81BD"/>
      <w:szCs w:val="20"/>
    </w:rPr>
  </w:style>
  <w:style w:type="character" w:customStyle="1" w:styleId="202">
    <w:name w:val="明显强调11"/>
    <w:qFormat/>
    <w:uiPriority w:val="0"/>
    <w:rPr>
      <w:b/>
      <w:bCs/>
      <w:i/>
      <w:iCs/>
      <w:color w:val="4F81BD"/>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明显引用 Char"/>
    <w:qFormat/>
    <w:uiPriority w:val="0"/>
    <w:rPr>
      <w:rFonts w:ascii="Times New Roman" w:hAnsi="Times New Roman" w:eastAsia="宋体" w:cs="Times New Roman"/>
      <w:b/>
      <w:bCs/>
      <w:i/>
      <w:iCs/>
      <w:color w:val="4F81BD"/>
      <w:kern w:val="2"/>
      <w:sz w:val="21"/>
      <w:szCs w:val="24"/>
    </w:rPr>
  </w:style>
  <w:style w:type="character" w:customStyle="1" w:styleId="205">
    <w:name w:val="批注框文本 Char2"/>
    <w:qFormat/>
    <w:uiPriority w:val="99"/>
    <w:rPr>
      <w:kern w:val="2"/>
      <w:sz w:val="18"/>
      <w:szCs w:val="18"/>
    </w:rPr>
  </w:style>
  <w:style w:type="character" w:customStyle="1" w:styleId="206">
    <w:name w:val="标题 9 Char2"/>
    <w:link w:val="12"/>
    <w:qFormat/>
    <w:uiPriority w:val="0"/>
    <w:rPr>
      <w:rFonts w:eastAsia="仿宋_GB2312"/>
      <w:sz w:val="30"/>
      <w:lang w:val="en-US" w:eastAsia="zh-CN" w:bidi="ar-SA"/>
    </w:rPr>
  </w:style>
  <w:style w:type="character" w:customStyle="1" w:styleId="207">
    <w:name w:val="引用 Char"/>
    <w:link w:val="208"/>
    <w:qFormat/>
    <w:uiPriority w:val="0"/>
    <w:rPr>
      <w:rFonts w:ascii="Times New Roman" w:hAnsi="Times New Roman" w:eastAsia="宋体" w:cs="Times New Roman"/>
      <w:i/>
      <w:iCs/>
      <w:color w:val="000000"/>
      <w:kern w:val="2"/>
      <w:sz w:val="21"/>
      <w:szCs w:val="24"/>
    </w:rPr>
  </w:style>
  <w:style w:type="paragraph" w:customStyle="1" w:styleId="208">
    <w:name w:val="引用2"/>
    <w:basedOn w:val="1"/>
    <w:next w:val="1"/>
    <w:link w:val="207"/>
    <w:qFormat/>
    <w:uiPriority w:val="0"/>
    <w:rPr>
      <w:i/>
      <w:iCs/>
      <w:color w:val="000000"/>
    </w:rPr>
  </w:style>
  <w:style w:type="character" w:customStyle="1" w:styleId="209">
    <w:name w:val="标题 9 Char"/>
    <w:qFormat/>
    <w:uiPriority w:val="0"/>
    <w:rPr>
      <w:rFonts w:ascii="Arial" w:hAnsi="Arial" w:eastAsia="黑体" w:cs="Times New Roman"/>
      <w:szCs w:val="21"/>
    </w:rPr>
  </w:style>
  <w:style w:type="character" w:customStyle="1" w:styleId="210">
    <w:name w:val="intel3"/>
    <w:basedOn w:val="47"/>
    <w:qFormat/>
    <w:uiPriority w:val="0"/>
  </w:style>
  <w:style w:type="character" w:customStyle="1" w:styleId="211">
    <w:name w:val="未处理的提及"/>
    <w:unhideWhenUsed/>
    <w:qFormat/>
    <w:uiPriority w:val="99"/>
    <w:rPr>
      <w:color w:val="808080"/>
      <w:shd w:val="clear" w:color="auto" w:fill="E6E6E6"/>
    </w:rPr>
  </w:style>
  <w:style w:type="character" w:customStyle="1" w:styleId="212">
    <w:name w:val="正文文本缩进 3 Char"/>
    <w:qFormat/>
    <w:uiPriority w:val="0"/>
    <w:rPr>
      <w:kern w:val="2"/>
      <w:sz w:val="16"/>
      <w:szCs w:val="16"/>
    </w:rPr>
  </w:style>
  <w:style w:type="character" w:customStyle="1" w:styleId="213">
    <w:name w:val="明显参考1"/>
    <w:qFormat/>
    <w:uiPriority w:val="0"/>
    <w:rPr>
      <w:b/>
      <w:bCs/>
      <w:smallCaps/>
      <w:color w:val="C0504D"/>
      <w:spacing w:val="5"/>
      <w:u w:val="single"/>
    </w:rPr>
  </w:style>
  <w:style w:type="character" w:customStyle="1" w:styleId="214">
    <w:name w:val="Char Char34"/>
    <w:qFormat/>
    <w:uiPriority w:val="0"/>
    <w:rPr>
      <w:rFonts w:ascii="仿宋_GB2312" w:eastAsia="仿宋_GB2312" w:cs="MingLiU"/>
      <w:b/>
      <w:spacing w:val="1"/>
      <w:w w:val="99"/>
      <w:sz w:val="28"/>
      <w:szCs w:val="32"/>
    </w:rPr>
  </w:style>
  <w:style w:type="character" w:customStyle="1" w:styleId="215">
    <w:name w:val="正文文本 2 Char"/>
    <w:link w:val="39"/>
    <w:qFormat/>
    <w:uiPriority w:val="0"/>
    <w:rPr>
      <w:i/>
      <w:iCs/>
      <w:kern w:val="2"/>
      <w:sz w:val="26"/>
      <w:szCs w:val="24"/>
    </w:rPr>
  </w:style>
  <w:style w:type="character" w:customStyle="1" w:styleId="216">
    <w:name w:val="正文文本 Char2"/>
    <w:qFormat/>
    <w:uiPriority w:val="99"/>
    <w:rPr>
      <w:kern w:val="2"/>
      <w:sz w:val="21"/>
      <w:szCs w:val="24"/>
    </w:rPr>
  </w:style>
  <w:style w:type="character" w:customStyle="1" w:styleId="217">
    <w:name w:val="纯文本 Char"/>
    <w:qFormat/>
    <w:uiPriority w:val="0"/>
    <w:rPr>
      <w:rFonts w:ascii="宋体" w:hAnsi="Courier New"/>
      <w:sz w:val="28"/>
      <w:szCs w:val="28"/>
    </w:rPr>
  </w:style>
  <w:style w:type="character" w:customStyle="1" w:styleId="218">
    <w:name w:val="正文文本 Char1"/>
    <w:qFormat/>
    <w:uiPriority w:val="0"/>
    <w:rPr>
      <w:kern w:val="2"/>
      <w:sz w:val="21"/>
      <w:szCs w:val="22"/>
    </w:rPr>
  </w:style>
  <w:style w:type="character" w:customStyle="1" w:styleId="219">
    <w:name w:val="标题 4 Char"/>
    <w:qFormat/>
    <w:uiPriority w:val="0"/>
    <w:rPr>
      <w:rFonts w:ascii="仿宋_GB2312" w:hAnsi="Calibri" w:eastAsia="仿宋_GB2312" w:cs="Times New Roman"/>
      <w:b/>
      <w:kern w:val="0"/>
      <w:sz w:val="24"/>
      <w:szCs w:val="28"/>
    </w:rPr>
  </w:style>
  <w:style w:type="character" w:customStyle="1" w:styleId="220">
    <w:name w:val="正文文本 2 Char1"/>
    <w:semiHidden/>
    <w:qFormat/>
    <w:uiPriority w:val="99"/>
    <w:rPr>
      <w:rFonts w:ascii="Calibri" w:hAnsi="Calibri" w:eastAsia="宋体" w:cs="Times New Roman"/>
      <w:szCs w:val="24"/>
    </w:rPr>
  </w:style>
  <w:style w:type="character" w:customStyle="1" w:styleId="221">
    <w:name w:val="title11"/>
    <w:qFormat/>
    <w:uiPriority w:val="0"/>
    <w:rPr>
      <w:b/>
      <w:bCs/>
      <w:color w:val="FFFFFF"/>
      <w:sz w:val="11"/>
      <w:szCs w:val="11"/>
    </w:rPr>
  </w:style>
  <w:style w:type="character" w:customStyle="1" w:styleId="222">
    <w:name w:val="普通文字 Char Char1"/>
    <w:qFormat/>
    <w:uiPriority w:val="0"/>
    <w:rPr>
      <w:rFonts w:ascii="宋体" w:hAnsi="Courier New"/>
      <w:kern w:val="2"/>
      <w:sz w:val="28"/>
      <w:szCs w:val="28"/>
    </w:rPr>
  </w:style>
  <w:style w:type="character" w:customStyle="1" w:styleId="223">
    <w:name w:val="正文文本缩进 3 Char1"/>
    <w:qFormat/>
    <w:uiPriority w:val="0"/>
    <w:rPr>
      <w:rFonts w:ascii="宋体" w:hAnsi="宋体"/>
      <w:kern w:val="2"/>
      <w:sz w:val="28"/>
      <w:szCs w:val="28"/>
    </w:rPr>
  </w:style>
  <w:style w:type="character" w:customStyle="1" w:styleId="224">
    <w:name w:val="日期 Char4"/>
    <w:link w:val="25"/>
    <w:qFormat/>
    <w:uiPriority w:val="0"/>
    <w:rPr>
      <w:rFonts w:eastAsia="宋体"/>
      <w:kern w:val="2"/>
      <w:sz w:val="21"/>
      <w:szCs w:val="24"/>
      <w:lang w:val="en-US" w:eastAsia="zh-CN" w:bidi="ar-SA"/>
    </w:rPr>
  </w:style>
  <w:style w:type="character" w:customStyle="1" w:styleId="225">
    <w:name w:val="Section Char"/>
    <w:qFormat/>
    <w:uiPriority w:val="0"/>
    <w:rPr>
      <w:rFonts w:ascii="仿宋_GB2312" w:eastAsia="仿宋_GB2312" w:cs="MingLiU"/>
      <w:b/>
      <w:sz w:val="24"/>
      <w:szCs w:val="28"/>
      <w:lang w:val="en-US" w:eastAsia="zh-CN" w:bidi="ar-SA"/>
    </w:rPr>
  </w:style>
  <w:style w:type="character" w:customStyle="1" w:styleId="226">
    <w:name w:val="批注主题 Char"/>
    <w:qFormat/>
    <w:uiPriority w:val="0"/>
    <w:rPr>
      <w:rFonts w:ascii="宋体" w:hAnsi="宋体" w:eastAsia="宋体"/>
      <w:kern w:val="2"/>
      <w:sz w:val="24"/>
      <w:szCs w:val="28"/>
      <w:lang w:val="en-US" w:eastAsia="zh-CN" w:bidi="ar-SA"/>
    </w:rPr>
  </w:style>
  <w:style w:type="character" w:customStyle="1" w:styleId="227">
    <w:name w:val="ca-141"/>
    <w:qFormat/>
    <w:uiPriority w:val="0"/>
    <w:rPr>
      <w:rFonts w:hint="eastAsia" w:ascii="仿宋_GB2312" w:eastAsia="仿宋_GB2312"/>
      <w:sz w:val="21"/>
      <w:szCs w:val="21"/>
    </w:rPr>
  </w:style>
  <w:style w:type="character" w:customStyle="1" w:styleId="228">
    <w:name w:val="正文文本 3 Char2"/>
    <w:semiHidden/>
    <w:qFormat/>
    <w:uiPriority w:val="99"/>
    <w:rPr>
      <w:rFonts w:ascii="Calibri" w:hAnsi="Calibri" w:eastAsia="宋体" w:cs="Times New Roman"/>
      <w:sz w:val="16"/>
      <w:szCs w:val="16"/>
    </w:rPr>
  </w:style>
  <w:style w:type="character" w:customStyle="1" w:styleId="229">
    <w:name w:val="正文文本缩进 3 Char3"/>
    <w:link w:val="36"/>
    <w:qFormat/>
    <w:uiPriority w:val="0"/>
    <w:rPr>
      <w:rFonts w:ascii="宋体" w:hAnsi="宋体" w:eastAsia="宋体"/>
      <w:kern w:val="2"/>
      <w:sz w:val="28"/>
      <w:szCs w:val="28"/>
      <w:lang w:val="en-US" w:eastAsia="zh-CN" w:bidi="ar-SA"/>
    </w:rPr>
  </w:style>
  <w:style w:type="character" w:customStyle="1" w:styleId="230">
    <w:name w:val="明显参考11"/>
    <w:qFormat/>
    <w:uiPriority w:val="0"/>
    <w:rPr>
      <w:b/>
      <w:bCs/>
      <w:smallCaps/>
      <w:color w:val="C0504D"/>
      <w:spacing w:val="5"/>
      <w:u w:val="single"/>
    </w:rPr>
  </w:style>
  <w:style w:type="character" w:customStyle="1" w:styleId="231">
    <w:name w:val="批注框文本 Char1"/>
    <w:qFormat/>
    <w:uiPriority w:val="0"/>
    <w:rPr>
      <w:kern w:val="2"/>
      <w:sz w:val="18"/>
      <w:szCs w:val="18"/>
    </w:rPr>
  </w:style>
  <w:style w:type="character" w:customStyle="1" w:styleId="232">
    <w:name w:val="14t1"/>
    <w:qFormat/>
    <w:uiPriority w:val="0"/>
    <w:rPr>
      <w:rFonts w:hint="eastAsia" w:ascii="宋体" w:hAnsi="宋体" w:eastAsia="宋体"/>
      <w:sz w:val="11"/>
      <w:szCs w:val="11"/>
    </w:rPr>
  </w:style>
  <w:style w:type="character" w:customStyle="1" w:styleId="233">
    <w:name w:val="正文文本缩进 Char2"/>
    <w:semiHidden/>
    <w:qFormat/>
    <w:uiPriority w:val="99"/>
    <w:rPr>
      <w:rFonts w:ascii="Calibri" w:hAnsi="Calibri" w:eastAsia="宋体" w:cs="Times New Roman"/>
      <w:szCs w:val="24"/>
    </w:rPr>
  </w:style>
  <w:style w:type="character" w:customStyle="1" w:styleId="234">
    <w:name w:val="ht1"/>
    <w:qFormat/>
    <w:uiPriority w:val="0"/>
    <w:rPr>
      <w:rFonts w:ascii="黑体" w:eastAsia="黑体"/>
      <w:b/>
      <w:bCs/>
    </w:rPr>
  </w:style>
  <w:style w:type="paragraph" w:customStyle="1" w:styleId="23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23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3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41">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43">
    <w:name w:val="Char Char"/>
    <w:basedOn w:val="1"/>
    <w:qFormat/>
    <w:uiPriority w:val="0"/>
    <w:pPr>
      <w:widowControl/>
      <w:jc w:val="left"/>
    </w:pPr>
    <w:rPr>
      <w:rFonts w:ascii="Verdana" w:hAnsi="Verdana" w:eastAsia="Times New Roman"/>
      <w:kern w:val="0"/>
      <w:sz w:val="16"/>
      <w:szCs w:val="20"/>
      <w:lang w:eastAsia="en-US"/>
    </w:rPr>
  </w:style>
  <w:style w:type="paragraph" w:customStyle="1" w:styleId="2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46">
    <w:name w:val="pa-34"/>
    <w:basedOn w:val="1"/>
    <w:qFormat/>
    <w:uiPriority w:val="0"/>
    <w:pPr>
      <w:widowControl/>
      <w:spacing w:line="360" w:lineRule="atLeast"/>
      <w:ind w:firstLine="420"/>
      <w:jc w:val="left"/>
    </w:pPr>
    <w:rPr>
      <w:rFonts w:ascii="宋体" w:hAnsi="宋体" w:cs="宋体"/>
      <w:kern w:val="0"/>
      <w:sz w:val="24"/>
    </w:rPr>
  </w:style>
  <w:style w:type="paragraph" w:customStyle="1" w:styleId="247">
    <w:name w:val="表格标题"/>
    <w:basedOn w:val="248"/>
    <w:qFormat/>
    <w:uiPriority w:val="0"/>
  </w:style>
  <w:style w:type="paragraph" w:customStyle="1" w:styleId="248">
    <w:name w:val="表格内容"/>
    <w:basedOn w:val="1"/>
    <w:qFormat/>
    <w:uiPriority w:val="0"/>
    <w:pPr>
      <w:suppressLineNumbers/>
      <w:suppressAutoHyphens/>
    </w:pPr>
  </w:style>
  <w:style w:type="paragraph" w:customStyle="1" w:styleId="249">
    <w:name w:val="Char"/>
    <w:basedOn w:val="1"/>
    <w:qFormat/>
    <w:uiPriority w:val="0"/>
  </w:style>
  <w:style w:type="paragraph" w:customStyle="1" w:styleId="25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25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4">
    <w:name w:val="表格文字"/>
    <w:basedOn w:val="1"/>
    <w:qFormat/>
    <w:uiPriority w:val="0"/>
    <w:pPr>
      <w:adjustRightInd w:val="0"/>
      <w:spacing w:line="420" w:lineRule="atLeast"/>
      <w:jc w:val="left"/>
      <w:textAlignment w:val="baseline"/>
    </w:pPr>
    <w:rPr>
      <w:kern w:val="0"/>
      <w:szCs w:val="20"/>
    </w:rPr>
  </w:style>
  <w:style w:type="paragraph" w:customStyle="1" w:styleId="25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列表段落1"/>
    <w:basedOn w:val="1"/>
    <w:qFormat/>
    <w:uiPriority w:val="34"/>
    <w:pPr>
      <w:ind w:firstLine="420" w:firstLineChars="200"/>
    </w:pPr>
    <w:rPr>
      <w:rFonts w:ascii="Calibri" w:hAnsi="Calibri"/>
    </w:rPr>
  </w:style>
  <w:style w:type="paragraph" w:customStyle="1" w:styleId="26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6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63">
    <w:name w:val="1 Char"/>
    <w:basedOn w:val="1"/>
    <w:qFormat/>
    <w:uiPriority w:val="0"/>
    <w:pPr>
      <w:widowControl/>
      <w:spacing w:after="160" w:line="240" w:lineRule="exact"/>
      <w:jc w:val="left"/>
    </w:pPr>
    <w:rPr>
      <w:rFonts w:ascii="Calibri" w:hAnsi="Calibri"/>
      <w:szCs w:val="20"/>
    </w:rPr>
  </w:style>
  <w:style w:type="paragraph" w:customStyle="1" w:styleId="2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26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66">
    <w:name w:val="WW-表格内容"/>
    <w:basedOn w:val="1"/>
    <w:qFormat/>
    <w:uiPriority w:val="0"/>
    <w:pPr>
      <w:suppressLineNumbers/>
      <w:suppressAutoHyphens/>
    </w:pPr>
  </w:style>
  <w:style w:type="paragraph" w:customStyle="1" w:styleId="2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8">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9">
    <w:name w:val="pa-27"/>
    <w:basedOn w:val="1"/>
    <w:qFormat/>
    <w:uiPriority w:val="0"/>
    <w:pPr>
      <w:widowControl/>
      <w:spacing w:line="360" w:lineRule="atLeast"/>
      <w:ind w:firstLine="420"/>
    </w:pPr>
    <w:rPr>
      <w:rFonts w:ascii="宋体" w:hAnsi="宋体" w:cs="宋体"/>
      <w:kern w:val="0"/>
      <w:sz w:val="24"/>
    </w:rPr>
  </w:style>
  <w:style w:type="paragraph" w:customStyle="1" w:styleId="270">
    <w:name w:val="_Style 87"/>
    <w:basedOn w:val="1"/>
    <w:qFormat/>
    <w:uiPriority w:val="99"/>
    <w:pPr>
      <w:ind w:firstLine="420" w:firstLineChars="200"/>
    </w:pPr>
    <w:rPr>
      <w:rFonts w:ascii="Calibri" w:hAnsi="Calibri"/>
      <w:sz w:val="28"/>
      <w:szCs w:val="28"/>
    </w:rPr>
  </w:style>
  <w:style w:type="paragraph" w:customStyle="1" w:styleId="2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7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76">
    <w:name w:val="Char11"/>
    <w:basedOn w:val="1"/>
    <w:qFormat/>
    <w:uiPriority w:val="0"/>
  </w:style>
  <w:style w:type="paragraph" w:customStyle="1" w:styleId="2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8">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styleId="28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82">
    <w:name w:val="List Paragraph"/>
    <w:basedOn w:val="1"/>
    <w:qFormat/>
    <w:uiPriority w:val="99"/>
    <w:pPr>
      <w:ind w:firstLine="420" w:firstLineChars="200"/>
    </w:pPr>
    <w:rPr>
      <w:sz w:val="28"/>
      <w:szCs w:val="28"/>
    </w:rPr>
  </w:style>
  <w:style w:type="paragraph" w:customStyle="1" w:styleId="283">
    <w:name w:val="Char Char Char Char"/>
    <w:basedOn w:val="15"/>
    <w:qFormat/>
    <w:uiPriority w:val="0"/>
    <w:pPr>
      <w:spacing w:line="360" w:lineRule="auto"/>
      <w:ind w:firstLine="200" w:firstLineChars="200"/>
    </w:pPr>
    <w:rPr>
      <w:rFonts w:ascii="Tahoma" w:hAnsi="Tahoma"/>
      <w:sz w:val="24"/>
    </w:rPr>
  </w:style>
  <w:style w:type="paragraph" w:customStyle="1" w:styleId="284">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5">
    <w:name w:val="列出段落1"/>
    <w:basedOn w:val="1"/>
    <w:qFormat/>
    <w:uiPriority w:val="0"/>
    <w:pPr>
      <w:ind w:firstLine="420" w:firstLineChars="200"/>
    </w:pPr>
    <w:rPr>
      <w:sz w:val="28"/>
      <w:szCs w:val="28"/>
    </w:rPr>
  </w:style>
  <w:style w:type="paragraph" w:customStyle="1" w:styleId="28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87">
    <w:name w:val="标准样式1"/>
    <w:basedOn w:val="1"/>
    <w:qFormat/>
    <w:uiPriority w:val="0"/>
    <w:pPr>
      <w:spacing w:line="600" w:lineRule="exact"/>
      <w:ind w:firstLine="567"/>
    </w:pPr>
    <w:rPr>
      <w:rFonts w:ascii="Calibri" w:hAnsi="Calibri"/>
      <w:sz w:val="28"/>
    </w:rPr>
  </w:style>
  <w:style w:type="paragraph" w:customStyle="1" w:styleId="288">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289">
    <w:name w:val="修订2"/>
    <w:qFormat/>
    <w:uiPriority w:val="0"/>
    <w:rPr>
      <w:rFonts w:ascii="Times New Roman" w:hAnsi="Times New Roman" w:eastAsia="宋体" w:cs="Times New Roman"/>
      <w:kern w:val="2"/>
      <w:sz w:val="21"/>
      <w:szCs w:val="24"/>
      <w:lang w:val="en-US" w:eastAsia="zh-CN" w:bidi="ar-SA"/>
    </w:rPr>
  </w:style>
  <w:style w:type="paragraph" w:customStyle="1" w:styleId="290">
    <w:name w:val="Char1"/>
    <w:basedOn w:val="1"/>
    <w:qFormat/>
    <w:uiPriority w:val="0"/>
  </w:style>
  <w:style w:type="paragraph" w:customStyle="1" w:styleId="29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2">
    <w:name w:val="正  文"/>
    <w:basedOn w:val="1"/>
    <w:qFormat/>
    <w:uiPriority w:val="0"/>
    <w:pPr>
      <w:spacing w:line="360" w:lineRule="auto"/>
      <w:ind w:firstLine="200" w:firstLineChars="200"/>
    </w:pPr>
    <w:rPr>
      <w:rFonts w:ascii="宋体" w:hAnsi="Calibri"/>
      <w:sz w:val="24"/>
    </w:rPr>
  </w:style>
  <w:style w:type="paragraph" w:customStyle="1" w:styleId="293">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294">
    <w:name w:val="自定样式1"/>
    <w:basedOn w:val="1"/>
    <w:qFormat/>
    <w:uiPriority w:val="0"/>
    <w:pPr>
      <w:suppressAutoHyphens/>
      <w:jc w:val="center"/>
    </w:pPr>
    <w:rPr>
      <w:rFonts w:ascii="宋体" w:hAnsi="宋体"/>
      <w:color w:val="000000"/>
      <w:sz w:val="18"/>
    </w:rPr>
  </w:style>
  <w:style w:type="paragraph" w:customStyle="1" w:styleId="295">
    <w:name w:val="p15"/>
    <w:basedOn w:val="1"/>
    <w:qFormat/>
    <w:uiPriority w:val="0"/>
    <w:pPr>
      <w:widowControl/>
      <w:spacing w:after="120"/>
    </w:pPr>
    <w:rPr>
      <w:kern w:val="0"/>
      <w:szCs w:val="21"/>
    </w:rPr>
  </w:style>
  <w:style w:type="paragraph" w:customStyle="1" w:styleId="29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97">
    <w:name w:val="TOC 标题21"/>
    <w:basedOn w:val="3"/>
    <w:next w:val="1"/>
    <w:unhideWhenUsed/>
    <w:qFormat/>
    <w:uiPriority w:val="0"/>
    <w:pPr>
      <w:outlineLvl w:val="9"/>
    </w:pPr>
    <w:rPr>
      <w:rFonts w:ascii="Calibri" w:hAnsi="Calibri"/>
    </w:rPr>
  </w:style>
  <w:style w:type="paragraph" w:customStyle="1" w:styleId="298">
    <w:name w:val="列出段落11"/>
    <w:basedOn w:val="1"/>
    <w:qFormat/>
    <w:uiPriority w:val="0"/>
    <w:pPr>
      <w:ind w:firstLine="420" w:firstLineChars="200"/>
    </w:pPr>
    <w:rPr>
      <w:sz w:val="28"/>
      <w:szCs w:val="28"/>
    </w:rPr>
  </w:style>
  <w:style w:type="paragraph" w:customStyle="1" w:styleId="299">
    <w:name w:val="表格"/>
    <w:basedOn w:val="1"/>
    <w:qFormat/>
    <w:uiPriority w:val="0"/>
    <w:pPr>
      <w:jc w:val="center"/>
      <w:textAlignment w:val="center"/>
    </w:pPr>
    <w:rPr>
      <w:rFonts w:ascii="华文细黑" w:hAnsi="华文细黑"/>
      <w:kern w:val="0"/>
      <w:szCs w:val="20"/>
    </w:rPr>
  </w:style>
  <w:style w:type="paragraph" w:customStyle="1" w:styleId="300">
    <w:name w:val="WW-表格标题"/>
    <w:basedOn w:val="266"/>
    <w:qFormat/>
    <w:uiPriority w:val="0"/>
  </w:style>
  <w:style w:type="paragraph" w:customStyle="1" w:styleId="301">
    <w:name w:val="表体"/>
    <w:basedOn w:val="1"/>
    <w:next w:val="1"/>
    <w:qFormat/>
    <w:uiPriority w:val="0"/>
    <w:pPr>
      <w:spacing w:line="0" w:lineRule="atLeast"/>
    </w:pPr>
    <w:rPr>
      <w:rFonts w:ascii="Calibri" w:hAnsi="Calibri"/>
      <w:b/>
      <w:snapToGrid w:val="0"/>
      <w:szCs w:val="20"/>
    </w:rPr>
  </w:style>
  <w:style w:type="paragraph" w:customStyle="1" w:styleId="302">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30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4">
    <w:name w:val="p16"/>
    <w:basedOn w:val="1"/>
    <w:qFormat/>
    <w:uiPriority w:val="0"/>
    <w:pPr>
      <w:widowControl/>
    </w:pPr>
    <w:rPr>
      <w:rFonts w:ascii="Calibri" w:hAnsi="Calibri" w:cs="宋体"/>
      <w:kern w:val="0"/>
      <w:szCs w:val="21"/>
    </w:rPr>
  </w:style>
  <w:style w:type="paragraph" w:customStyle="1" w:styleId="305">
    <w:name w:val="样式1"/>
    <w:basedOn w:val="1"/>
    <w:next w:val="6"/>
    <w:qFormat/>
    <w:uiPriority w:val="0"/>
    <w:pPr>
      <w:spacing w:line="360" w:lineRule="auto"/>
      <w:ind w:firstLine="420" w:firstLineChars="200"/>
    </w:pPr>
    <w:rPr>
      <w:rFonts w:ascii="宋体" w:hAnsi="宋体"/>
      <w:szCs w:val="21"/>
    </w:rPr>
  </w:style>
  <w:style w:type="paragraph" w:customStyle="1" w:styleId="306">
    <w:name w:val="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07">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308">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309">
    <w:name w:val="Char9 Char Char Char Char Char Char"/>
    <w:basedOn w:val="15"/>
    <w:qFormat/>
    <w:uiPriority w:val="0"/>
    <w:pPr>
      <w:spacing w:line="360" w:lineRule="auto"/>
      <w:ind w:firstLine="200" w:firstLineChars="200"/>
    </w:pPr>
    <w:rPr>
      <w:rFonts w:ascii="Tahoma" w:hAnsi="Tahoma"/>
      <w:sz w:val="24"/>
    </w:rPr>
  </w:style>
  <w:style w:type="paragraph" w:customStyle="1" w:styleId="310">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11">
    <w:name w:val="Char2"/>
    <w:basedOn w:val="1"/>
    <w:qFormat/>
    <w:uiPriority w:val="0"/>
    <w:rPr>
      <w:rFonts w:ascii="Calibri" w:hAnsi="Calibri"/>
    </w:rPr>
  </w:style>
  <w:style w:type="paragraph" w:customStyle="1" w:styleId="312">
    <w:name w:val="_Style 8"/>
    <w:basedOn w:val="3"/>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41F28-D330-4432-B1A2-BE312542B585}">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49092</Words>
  <Characters>51834</Characters>
  <Lines>216</Lines>
  <Paragraphs>293</Paragraphs>
  <TotalTime>3</TotalTime>
  <ScaleCrop>false</ScaleCrop>
  <LinksUpToDate>false</LinksUpToDate>
  <CharactersWithSpaces>58378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2020-06-28T01:32:00Z</dcterms:created>
  <dc:creator>USER</dc:creator>
  <cp:lastModifiedBy>a.19900815</cp:lastModifiedBy>
  <cp:lastPrinted>2021-07-13T03:05:00Z</cp:lastPrinted>
  <dcterms:modified xsi:type="dcterms:W3CDTF">2023-01-31T08:29:01Z</dcterms:modified>
  <dc:title>第一卷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6E594ABCE5034F3ABAD52AC2ADB44F17</vt:lpwstr>
  </property>
</Properties>
</file>